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7F7DD4" w:rsidRDefault="007F7DD4" w:rsidP="001761FF">
      <w:pPr>
        <w:pStyle w:val="BodyText"/>
        <w:jc w:val="right"/>
        <w:rPr>
          <w:rFonts w:ascii="Arial" w:hAnsi="Arial" w:cs="Arial"/>
          <w:b/>
          <w:smallCaps/>
          <w:lang w:val="en-GB"/>
        </w:rPr>
      </w:pPr>
    </w:p>
    <w:p w:rsidR="007F7DD4" w:rsidRDefault="007F7DD4">
      <w:pPr>
        <w:rPr>
          <w:rFonts w:ascii="Arial" w:hAnsi="Arial" w:cs="Arial"/>
          <w:b/>
          <w:smallCaps/>
          <w:lang w:val="en-GB"/>
        </w:rPr>
      </w:pPr>
      <w:r>
        <w:rPr>
          <w:rFonts w:ascii="Arial" w:hAnsi="Arial" w:cs="Arial"/>
          <w:b/>
          <w:smallCaps/>
          <w:lang w:val="en-GB"/>
        </w:rPr>
        <w:br w:type="page"/>
      </w:r>
    </w:p>
    <w:p w:rsidR="007F7DD4" w:rsidRPr="00440B9F" w:rsidRDefault="007F7DD4" w:rsidP="001761FF">
      <w:pPr>
        <w:pStyle w:val="BodyText"/>
        <w:jc w:val="right"/>
        <w:rPr>
          <w:rFonts w:ascii="Arial" w:hAnsi="Arial" w:cs="Arial"/>
          <w:b/>
          <w:smallCaps/>
          <w:sz w:val="22"/>
          <w:szCs w:val="22"/>
          <w:lang w:val="en-GB"/>
        </w:rPr>
      </w:pPr>
    </w:p>
    <w:p w:rsidR="007F7DD4" w:rsidRPr="00440B9F" w:rsidRDefault="007F7DD4" w:rsidP="001761FF">
      <w:pPr>
        <w:pStyle w:val="BodyText"/>
        <w:jc w:val="both"/>
        <w:rPr>
          <w:rFonts w:ascii="Arial" w:hAnsi="Arial" w:cs="Arial"/>
          <w:b/>
          <w:smallCaps/>
          <w:sz w:val="22"/>
          <w:szCs w:val="22"/>
          <w:lang w:val="en-GB"/>
        </w:rPr>
      </w:pPr>
    </w:p>
    <w:p w:rsidR="007F7DD4" w:rsidRPr="00440B9F" w:rsidRDefault="007F7DD4" w:rsidP="001761FF">
      <w:pPr>
        <w:pStyle w:val="BodyText"/>
        <w:jc w:val="both"/>
        <w:rPr>
          <w:rFonts w:ascii="Arial" w:hAnsi="Arial" w:cs="Arial"/>
          <w:b/>
          <w:smallCaps/>
          <w:sz w:val="22"/>
          <w:szCs w:val="22"/>
          <w:lang w:val="en-GB"/>
        </w:rPr>
      </w:pPr>
    </w:p>
    <w:p w:rsidR="007F7DD4" w:rsidRPr="00440B9F" w:rsidRDefault="007F7DD4" w:rsidP="001761FF">
      <w:pPr>
        <w:pStyle w:val="BodyText"/>
        <w:jc w:val="both"/>
        <w:rPr>
          <w:rFonts w:ascii="Arial" w:hAnsi="Arial" w:cs="Arial"/>
          <w:b/>
          <w:smallCaps/>
          <w:sz w:val="22"/>
          <w:szCs w:val="22"/>
          <w:lang w:val="en-GB"/>
        </w:rPr>
      </w:pPr>
    </w:p>
    <w:p w:rsidR="007F7DD4" w:rsidRDefault="007F7DD4" w:rsidP="001761FF">
      <w:pPr>
        <w:pStyle w:val="BodyText"/>
        <w:jc w:val="center"/>
        <w:rPr>
          <w:rFonts w:ascii="Arial" w:hAnsi="Arial" w:cs="Arial"/>
          <w:b/>
          <w:smallCaps/>
          <w:lang w:val="en-GB"/>
        </w:rPr>
      </w:pPr>
    </w:p>
    <w:p w:rsidR="007F7DD4" w:rsidRPr="00440B9F" w:rsidRDefault="007F7DD4" w:rsidP="001761FF">
      <w:pPr>
        <w:pStyle w:val="BodyText"/>
        <w:jc w:val="center"/>
        <w:rPr>
          <w:rFonts w:ascii="Arial" w:hAnsi="Arial" w:cs="Arial"/>
          <w:b/>
          <w:smallCaps/>
          <w:sz w:val="22"/>
          <w:szCs w:val="22"/>
          <w:lang w:val="en-GB"/>
        </w:rPr>
      </w:pPr>
      <w:r w:rsidRPr="00440B9F">
        <w:rPr>
          <w:rFonts w:ascii="Arial" w:hAnsi="Arial" w:cs="Arial"/>
          <w:b/>
          <w:smallCaps/>
          <w:sz w:val="22"/>
          <w:szCs w:val="22"/>
          <w:lang w:val="en-GB"/>
        </w:rPr>
        <w:t>Chapter Three:</w:t>
      </w:r>
    </w:p>
    <w:p w:rsidR="007F7DD4" w:rsidRPr="00440B9F" w:rsidRDefault="007F7DD4" w:rsidP="001761FF">
      <w:pPr>
        <w:pStyle w:val="BodyText"/>
        <w:jc w:val="center"/>
        <w:rPr>
          <w:rFonts w:ascii="Arial" w:hAnsi="Arial" w:cs="Arial"/>
          <w:smallCaps/>
          <w:sz w:val="22"/>
          <w:szCs w:val="22"/>
          <w:lang w:val="en-GB"/>
        </w:rPr>
      </w:pPr>
      <w:r w:rsidRPr="00440B9F">
        <w:rPr>
          <w:rFonts w:ascii="Arial" w:hAnsi="Arial" w:cs="Arial"/>
          <w:b/>
          <w:smallCaps/>
          <w:sz w:val="22"/>
          <w:szCs w:val="22"/>
          <w:lang w:val="en-GB"/>
        </w:rPr>
        <w:t>The Protestant Circle</w:t>
      </w: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jc w:val="both"/>
        <w:rPr>
          <w:rFonts w:ascii="Arial" w:hAnsi="Arial" w:cs="Arial"/>
          <w:smallCaps/>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Isaac and Ann Bird landed at the port of Beirut alongside their colleagues, William and Abigail Goodell, on 7 November 1823.</w:t>
      </w:r>
      <w:r w:rsidRPr="00440B9F">
        <w:rPr>
          <w:rStyle w:val="FootnoteReference"/>
          <w:rFonts w:ascii="Palatino Linotype" w:hAnsi="Palatino Linotype"/>
          <w:sz w:val="22"/>
          <w:szCs w:val="22"/>
          <w:lang w:val="en-GB"/>
        </w:rPr>
        <w:footnoteReference w:id="2"/>
      </w:r>
      <w:r w:rsidRPr="00440B9F">
        <w:rPr>
          <w:rFonts w:ascii="Palatino Linotype" w:hAnsi="Palatino Linotype"/>
          <w:sz w:val="22"/>
          <w:szCs w:val="22"/>
          <w:lang w:val="en-GB"/>
        </w:rPr>
        <w:t xml:space="preserve"> Their arrival followed three years of ‘exploratory missions’ conducted by Pliny Fisk, Levi Parsons and Jonas King along the coast of the eastern Mediterranean.</w:t>
      </w:r>
      <w:r w:rsidRPr="00440B9F">
        <w:rPr>
          <w:rStyle w:val="FootnoteReference"/>
          <w:rFonts w:ascii="Palatino Linotype" w:hAnsi="Palatino Linotype"/>
          <w:sz w:val="22"/>
          <w:szCs w:val="22"/>
          <w:lang w:val="en-GB"/>
        </w:rPr>
        <w:footnoteReference w:id="3"/>
      </w:r>
      <w:r w:rsidRPr="00440B9F">
        <w:rPr>
          <w:rFonts w:ascii="Palatino Linotype" w:hAnsi="Palatino Linotype"/>
          <w:sz w:val="22"/>
          <w:szCs w:val="22"/>
          <w:lang w:val="en-GB"/>
        </w:rPr>
        <w:t xml:space="preserve"> The rise of a missionary movement and the development of a mobile middle class in the early nineteenth century encouraged the missionaries to pursue their evangelical mission, while the disintegration of the </w:t>
      </w:r>
      <w:r w:rsidRPr="00440B9F">
        <w:rPr>
          <w:rFonts w:ascii="Palatino Linotype" w:hAnsi="Palatino Linotype"/>
          <w:i/>
          <w:sz w:val="22"/>
          <w:szCs w:val="22"/>
          <w:lang w:val="en-GB"/>
        </w:rPr>
        <w:t>iqta’</w:t>
      </w:r>
      <w:r w:rsidRPr="00440B9F">
        <w:rPr>
          <w:rFonts w:ascii="Palatino Linotype" w:hAnsi="Palatino Linotype"/>
          <w:sz w:val="22"/>
          <w:szCs w:val="22"/>
          <w:lang w:val="en-GB"/>
        </w:rPr>
        <w:t xml:space="preserve"> and the pursuit of alternative definitions of religious identity allowed for some residents of Syria to receive the ABCFM missionaries and support their work in the region. It was from this and subsequent points of contact that the Protestant Circle gradually emerged and developed into a distinct community of diverse individuals.</w:t>
      </w:r>
    </w:p>
    <w:p w:rsidR="007F7DD4" w:rsidRDefault="007F7DD4" w:rsidP="001761FF">
      <w:pPr>
        <w:pStyle w:val="BodyText"/>
        <w:spacing w:line="360" w:lineRule="auto"/>
        <w:jc w:val="both"/>
        <w:rPr>
          <w:rFonts w:ascii="Palatino Linotype" w:hAnsi="Palatino Linotype"/>
          <w:lang w:val="en-GB"/>
        </w:rPr>
      </w:pPr>
      <w:r w:rsidRPr="00440B9F">
        <w:rPr>
          <w:rFonts w:ascii="Palatino Linotype" w:hAnsi="Palatino Linotype"/>
          <w:sz w:val="22"/>
          <w:szCs w:val="22"/>
          <w:lang w:val="en-GB"/>
        </w:rPr>
        <w:tab/>
        <w:t>This chapter introduces the Protestant Circle through presenting the individuals who formed the community and the characteristic that described their faith and culture. The first section delineates the members of the Protestant Circle and outlines the symbolic structuring that defined this community. This distribution is drawn in Appendix IV and depicts the relative power and influence that each person or group held over other members of the community. The second section examines the spaces for the Protestant Circle, particularly those found in the suburbs of Beirut. The third section investigates the characteristics that defined this community, specifically the normative terms for Protestant social, cultural and religious capital. It argues that these terms were based upon the male ABCFM missionaries’ definitions of Protestantism and reflects their central position within the Circle. Subversions to this structuring and alternative definitions of Protestantism also emerged, which are explored in the final section of this chapter. Taken together, this material demonstrates that in a relatively short period of time, the Protestant Circle emerged, established itself as a new and distinct social-religious group within Ottoman Syria, but was nevertheless transformed and fragmented due to individuals’ pursuit of independent and alternative forms of Protestantism by 1860.</w:t>
      </w: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i/>
          <w:smallCaps/>
          <w:sz w:val="22"/>
          <w:szCs w:val="22"/>
          <w:lang w:val="en-GB"/>
        </w:rPr>
      </w:pPr>
    </w:p>
    <w:p w:rsidR="007F7DD4" w:rsidRPr="00440B9F" w:rsidRDefault="007F7DD4" w:rsidP="001761FF">
      <w:pPr>
        <w:pStyle w:val="BodyText"/>
        <w:spacing w:line="360" w:lineRule="auto"/>
        <w:jc w:val="center"/>
        <w:rPr>
          <w:rFonts w:ascii="Arial" w:hAnsi="Arial" w:cs="Arial"/>
          <w:smallCaps/>
          <w:sz w:val="22"/>
          <w:szCs w:val="22"/>
          <w:lang w:val="en-GB"/>
        </w:rPr>
      </w:pPr>
      <w:r w:rsidRPr="00440B9F">
        <w:rPr>
          <w:rFonts w:ascii="Arial" w:hAnsi="Arial" w:cs="Arial"/>
          <w:smallCaps/>
          <w:sz w:val="22"/>
          <w:szCs w:val="22"/>
          <w:lang w:val="en-GB"/>
        </w:rPr>
        <w:t>Members of the Protestant Circle</w:t>
      </w:r>
    </w:p>
    <w:p w:rsidR="007F7DD4" w:rsidRPr="00440B9F" w:rsidRDefault="007F7DD4" w:rsidP="001761FF">
      <w:pPr>
        <w:pStyle w:val="BodyText"/>
        <w:spacing w:line="360" w:lineRule="auto"/>
        <w:jc w:val="both"/>
        <w:rPr>
          <w:rFonts w:ascii="Arial" w:hAnsi="Arial" w:cs="Arial"/>
          <w:smallCaps/>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The Protestant Circle encompassed a diverse group of individuals who were born in the United States, Syria, England, Scotland, Prussia and Italy, but were united in a shared commitment to Protestantism. Social prestige and influence was not evenly divided amongst the members of this community, for it followed a circular pattern that centred upon the male ABCFM missionaries. This section examines this circular distribution through introducing the different groups and individuals who composed Protestant Circle and their relative position within the community.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central position in the Protestant Circle was occupied by the male missionaries of the American Board of Commissioners for Foreign Missions, who functioned as the dominate or elite within the community.</w:t>
      </w:r>
      <w:r w:rsidRPr="00440B9F">
        <w:rPr>
          <w:rStyle w:val="FootnoteReference"/>
          <w:rFonts w:ascii="Palatino Linotype" w:hAnsi="Palatino Linotype"/>
          <w:sz w:val="22"/>
          <w:szCs w:val="22"/>
          <w:lang w:val="en-GB"/>
        </w:rPr>
        <w:footnoteReference w:id="4"/>
      </w:r>
      <w:r w:rsidRPr="00440B9F">
        <w:rPr>
          <w:rFonts w:ascii="Palatino Linotype" w:hAnsi="Palatino Linotype"/>
          <w:sz w:val="22"/>
          <w:szCs w:val="22"/>
          <w:lang w:val="en-GB"/>
        </w:rPr>
        <w:t xml:space="preserve"> During the early nineteenth century, the official title of missionary for the ABCFM was restricted to men, either single or married.</w:t>
      </w:r>
      <w:r w:rsidRPr="00440B9F">
        <w:rPr>
          <w:rFonts w:ascii="Palatino Linotype" w:hAnsi="Palatino Linotype"/>
          <w:sz w:val="22"/>
          <w:szCs w:val="22"/>
          <w:vertAlign w:val="superscript"/>
          <w:lang w:val="en-GB"/>
        </w:rPr>
        <w:footnoteReference w:id="5"/>
      </w:r>
      <w:r w:rsidRPr="00440B9F">
        <w:rPr>
          <w:rFonts w:ascii="Palatino Linotype" w:hAnsi="Palatino Linotype"/>
          <w:sz w:val="22"/>
          <w:szCs w:val="22"/>
          <w:lang w:val="en-GB"/>
        </w:rPr>
        <w:t xml:space="preserve"> Ordination to this position occurred after the man received ecclesiastical or medical training from elite American colleges and seminaries, such as Yale, Andover and Princeton.</w:t>
      </w:r>
      <w:r w:rsidRPr="00440B9F">
        <w:rPr>
          <w:rFonts w:ascii="Palatino Linotype" w:hAnsi="Palatino Linotype"/>
          <w:sz w:val="22"/>
          <w:szCs w:val="22"/>
          <w:vertAlign w:val="superscript"/>
          <w:lang w:val="en-GB"/>
        </w:rPr>
        <w:footnoteReference w:id="6"/>
      </w:r>
      <w:r w:rsidRPr="00440B9F">
        <w:rPr>
          <w:rFonts w:ascii="Palatino Linotype" w:hAnsi="Palatino Linotype"/>
          <w:sz w:val="22"/>
          <w:szCs w:val="22"/>
          <w:lang w:val="en-GB"/>
        </w:rPr>
        <w:t xml:space="preserve"> Once ordained as missionaries by the ABCFM and upon arrival in Syria, these men became ‘spokespersons’ for the Syrian Station, for the books </w:t>
      </w:r>
      <w:r w:rsidRPr="00440B9F">
        <w:rPr>
          <w:noProof/>
          <w:sz w:val="22"/>
          <w:szCs w:val="22"/>
          <w:lang w:val="en-GB"/>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60" type="#_x0000_t75" style="position:absolute;left:0;text-align:left;margin-left:182.15pt;margin-top:147.1pt;width:244.9pt;height:400.95pt;z-index:-1;mso-position-horizontal-relative:text;mso-position-vertical-relative:page" wrapcoords="-86 -52 -86 21600 21686 21600 21686 -52 -86 -52" o:bordertopcolor="this" o:borderleftcolor="this" o:borderbottomcolor="this" o:borderrightcolor="this" stroked="t" strokeweight=".5pt">
            <v:imagedata r:id="rId8" o:title="early missionaries"/>
            <w10:wrap type="tight" anchory="page"/>
          </v:shape>
        </w:pict>
      </w:r>
      <w:r w:rsidRPr="00440B9F">
        <w:rPr>
          <w:rFonts w:ascii="Palatino Linotype" w:hAnsi="Palatino Linotype"/>
          <w:sz w:val="22"/>
          <w:szCs w:val="22"/>
          <w:lang w:val="en-GB"/>
        </w:rPr>
        <w:t>they published and the speeches they delivered were held by both the American and Syrian populace, as well as the ABCFM’s Prudential Committee, to be the official views of the community. In addition, the doctrines advocated by these men served as the standards for Protestant culture and faith, which was recognised by all in the Circle. Through serving as head presbyters, educators and medical doctors, these men not only personified their definition of Protestantism, but regulated how their faith and culture were disseminated to others in Syria, although not always how it was received and performed.</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Despite the missionary men’s central position in the Protestant Circle, this group was neither homogeneous nor harmonious. Tensions emerged amongst the missionaries, such as that between the Congregational and Presbyterian missionaries over church polity at the station, but were often silenced in the official records.</w:t>
      </w:r>
      <w:r w:rsidRPr="00440B9F">
        <w:rPr>
          <w:rStyle w:val="FootnoteReference"/>
          <w:rFonts w:ascii="Palatino Linotype" w:hAnsi="Palatino Linotype"/>
          <w:sz w:val="22"/>
          <w:szCs w:val="22"/>
          <w:lang w:val="en-GB"/>
        </w:rPr>
        <w:footnoteReference w:id="7"/>
      </w:r>
      <w:r w:rsidRPr="00440B9F">
        <w:rPr>
          <w:rFonts w:ascii="Palatino Linotype" w:hAnsi="Palatino Linotype"/>
          <w:sz w:val="22"/>
          <w:szCs w:val="22"/>
          <w:lang w:val="en-GB"/>
        </w:rPr>
        <w:t xml:space="preserve"> The transformations within the United States and Ottoman Syria, also affected the culture and faith promoted by the male missionaries. The details of these changes will be examined below, but included a modification in conversion policy and the gendering of mission work. Thus, while the male missionaries were central to the Protestant Circle and desired to regulate and monitor the theological development of this community, their influence and control was powerful, but never fully absolute.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Challenges to the male missionaries’ central position emerged from within the Protestant Circle, particularly from those who occupied ‘dominated-dominate’ positions just outside the central core. Individuals from this stratum engaged with the male missionaries’ definitions of Protestantism, but followed beliefs that differed slightly from this standard. One such group were the women missionaries of the ABCFM. Before commencing missionary service, most of the women acquired high levels of formal education at American institutions,</w:t>
      </w:r>
      <w:r w:rsidRPr="00440B9F">
        <w:rPr>
          <w:rStyle w:val="FootnoteReference"/>
          <w:rFonts w:ascii="Palatino Linotype" w:hAnsi="Palatino Linotype"/>
          <w:sz w:val="22"/>
          <w:szCs w:val="22"/>
          <w:lang w:val="en-GB"/>
        </w:rPr>
        <w:footnoteReference w:id="8"/>
      </w:r>
      <w:r w:rsidRPr="00440B9F">
        <w:rPr>
          <w:rFonts w:ascii="Palatino Linotype" w:hAnsi="Palatino Linotype"/>
          <w:sz w:val="22"/>
          <w:szCs w:val="22"/>
          <w:lang w:val="en-GB"/>
        </w:rPr>
        <w:t xml:space="preserve"> while some were relatives of religiously or politically prominent Americans.</w:t>
      </w:r>
      <w:r w:rsidRPr="00440B9F">
        <w:rPr>
          <w:rStyle w:val="FootnoteReference"/>
          <w:rFonts w:ascii="Palatino Linotype" w:hAnsi="Palatino Linotype"/>
          <w:sz w:val="22"/>
          <w:szCs w:val="22"/>
          <w:lang w:val="en-GB"/>
        </w:rPr>
        <w:footnoteReference w:id="9"/>
      </w:r>
      <w:r w:rsidRPr="00440B9F">
        <w:rPr>
          <w:rFonts w:ascii="Palatino Linotype" w:hAnsi="Palatino Linotype"/>
          <w:sz w:val="22"/>
          <w:szCs w:val="22"/>
          <w:lang w:val="en-GB"/>
        </w:rPr>
        <w:t xml:space="preserve">  Despite this, their standing at the Syrian Station was determined by their relation to male missionaries: as either wives or single ‘assistant’ missionaries. This affected the financial support given by the ABCFM, for women were designated as either dependents of their missionary husbands or as assistant missionaries who were paid less than their male colleagues. The details of women’s activities in the Protestant Circle and their performance of gender will be fully discussed in subsequent chapters.</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group within the dominated-dominate stratum were the children of the ABCFM missionaries. The missionary archives identity some, but not all, of the children born to missionary parents in Syria, so that those listed in Appendix I:B should be considered as only a partial list. Positioning this group within the Protestant Circle is a difficult task since each child’s relationship with others in the community differed, although a few general comments can be made. The children’s relatively central position reflects their ‘inherited’ access to Protestant capital. The definition of mothering advocated by the Protestants encouraged the indoctrination of Protestant culture and faith to missionary children, through educational, religious and social interactions. However, as each child grew up, he or she negotiated the different national and religious identities that surrounded them, particularly if they were ‘retuned’ to the United States for formal education as teenagers.</w:t>
      </w:r>
      <w:r w:rsidRPr="00440B9F">
        <w:rPr>
          <w:rStyle w:val="FootnoteReference"/>
          <w:rFonts w:ascii="Palatino Linotype" w:hAnsi="Palatino Linotype"/>
          <w:sz w:val="22"/>
          <w:szCs w:val="22"/>
          <w:lang w:val="en-GB"/>
        </w:rPr>
        <w:footnoteReference w:id="10"/>
      </w:r>
      <w:r w:rsidRPr="00440B9F">
        <w:rPr>
          <w:rFonts w:ascii="Palatino Linotype" w:hAnsi="Palatino Linotype"/>
          <w:sz w:val="22"/>
          <w:szCs w:val="22"/>
          <w:lang w:val="en-GB"/>
        </w:rPr>
        <w:t xml:space="preserve"> As a result, some left the community to pursue lives in the United States, while others returned to work as missionaries at various locations around Ottoman Empire.</w:t>
      </w:r>
      <w:r w:rsidRPr="00440B9F">
        <w:rPr>
          <w:rStyle w:val="FootnoteReference"/>
          <w:rFonts w:ascii="Palatino Linotype" w:hAnsi="Palatino Linotype"/>
          <w:sz w:val="22"/>
          <w:szCs w:val="22"/>
          <w:lang w:val="en-GB"/>
        </w:rPr>
        <w:footnoteReference w:id="11"/>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European and American residents of Ottoman Syria who were not employed by the ABCFM also held dominated-dominate status within the Protestant Circle.</w:t>
      </w:r>
      <w:r w:rsidRPr="00440B9F">
        <w:rPr>
          <w:rStyle w:val="FootnoteReference"/>
          <w:rFonts w:ascii="Palatino Linotype" w:hAnsi="Palatino Linotype"/>
          <w:sz w:val="22"/>
          <w:szCs w:val="22"/>
          <w:lang w:val="en-GB"/>
        </w:rPr>
        <w:footnoteReference w:id="12"/>
      </w:r>
      <w:r w:rsidRPr="00440B9F">
        <w:rPr>
          <w:rFonts w:ascii="Palatino Linotype" w:hAnsi="Palatino Linotype"/>
          <w:sz w:val="22"/>
          <w:szCs w:val="22"/>
          <w:lang w:val="en-GB"/>
        </w:rPr>
        <w:t xml:space="preserve"> These were often British and American citizens who were members of the Mission Church, but not financially supported by the ABCFM. They included the British and American consuls, their family members, other government agents and merchants who resided in Syria. Also included in this stratum were the Protestant missionaries and travelling preachers who were either independently funded or sponsored by other, non-ABCFM organisations. Some of these missionaries became part of the Circle when their theology and religious practices were perceived (by the ABCFM) to be congruent with the ABCFM’s definition of Protestantism. A few of the ABCFM missionaries’ family members also visited Syria and assisted in the activities of the Syrian Station, but were independently funded from the ABCFM. The culture performed by members of these groups differed, on varying degrees, to that promoted by the ABCFM male missionaries, so that their social standing within the Circle was scattered amongst other Protestants. Despite such differences, these individuals were often the daily associates of the ABCFM missionaries and many Syrian Protestants.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noProof/>
          <w:sz w:val="22"/>
          <w:szCs w:val="22"/>
          <w:lang w:val="en-GB"/>
        </w:rPr>
        <w:pict>
          <v:shape id="_x0000_s1059" type="#_x0000_t75" style="position:absolute;left:0;text-align:left;margin-left:248.25pt;margin-top:226.25pt;width:290.2pt;height:263.1pt;z-index:-2;mso-position-horizontal-relative:page;mso-position-vertical-relative:page" wrapcoords="-58 -64 -58 21600 21658 21600 21658 -64 -58 -64" filled="t" stroked="t">
            <v:imagedata r:id="rId9" o:title="syrian protestant group,1863" grayscale="t"/>
            <w10:wrap type="tight" anchorx="page" anchory="page"/>
          </v:shape>
        </w:pict>
      </w:r>
      <w:r w:rsidRPr="00440B9F">
        <w:rPr>
          <w:rFonts w:ascii="Palatino Linotype" w:hAnsi="Palatino Linotype"/>
          <w:sz w:val="22"/>
          <w:szCs w:val="22"/>
          <w:lang w:val="en-GB"/>
        </w:rPr>
        <w:tab/>
        <w:t>Syrian Protestants were other, fundamental members of the Protestant Circle. The geographic, economic and religious background of these individuals varied considerable. Nevertheless, the culture and faith promoted by the ABCFM missionaries resonated with these individuals, who pursued Protestantism as a definition for their own social, religious and/or political identity. However, the racial and gendered inequalities that underlined the ABCFM missionaries’ definitions of Protestantism limited the roles available to Syrians within this new community.</w:t>
      </w:r>
      <w:r w:rsidRPr="00440B9F">
        <w:rPr>
          <w:rStyle w:val="FootnoteReference"/>
          <w:rFonts w:ascii="Palatino Linotype" w:hAnsi="Palatino Linotype"/>
          <w:sz w:val="22"/>
          <w:szCs w:val="22"/>
          <w:lang w:val="en-GB"/>
        </w:rPr>
        <w:footnoteReference w:id="13"/>
      </w:r>
      <w:r w:rsidRPr="00440B9F">
        <w:rPr>
          <w:rFonts w:ascii="Palatino Linotype" w:hAnsi="Palatino Linotype"/>
          <w:sz w:val="22"/>
          <w:szCs w:val="22"/>
          <w:lang w:val="en-GB"/>
        </w:rPr>
        <w:t xml:space="preserve"> Although often marginalised within the community, this did not silence Syrian Protestants for contestations against the consolidation of power by the male ABCFM missionaries and the normative definitions of Protestantism were articulated throughout the period under review. Thus, it is necessary to separate Syrian Protestants into small sub-groups, in order to determine their position within the Protestant Circle and the varying ways that they engaged with the normative terms of Protestantism.</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Some Syrian Protestant men functioned as ‘Native Assistants’ to the Syrian Station and were highly regarded within the Protestant Circle. These men linked the ABCFM missionaries to other Syrians, particularly through their work as preachers, teachers, book distributers and translators, for which they occasionally received payment from the ABCFM. Native Assistants also created and participated in many of the institutions that defined the Protestant Circle, such as the Mission Press, which relocated from Malta to Beirut in 1834,</w:t>
      </w:r>
      <w:r w:rsidRPr="00440B9F">
        <w:rPr>
          <w:rStyle w:val="FootnoteReference"/>
          <w:rFonts w:ascii="Palatino Linotype" w:hAnsi="Palatino Linotype"/>
          <w:sz w:val="22"/>
          <w:szCs w:val="22"/>
          <w:lang w:val="en-GB"/>
        </w:rPr>
        <w:footnoteReference w:id="14"/>
      </w:r>
      <w:r w:rsidRPr="00440B9F">
        <w:rPr>
          <w:rFonts w:ascii="Palatino Linotype" w:hAnsi="Palatino Linotype"/>
          <w:sz w:val="22"/>
          <w:szCs w:val="22"/>
          <w:lang w:val="en-GB"/>
        </w:rPr>
        <w:t xml:space="preserve"> and </w:t>
      </w:r>
      <w:r w:rsidRPr="00440B9F">
        <w:rPr>
          <w:rFonts w:ascii="Palatino Linotype" w:hAnsi="Palatino Linotype"/>
          <w:bCs/>
          <w:i/>
          <w:sz w:val="22"/>
          <w:szCs w:val="22"/>
          <w:lang w:val="en-GB"/>
        </w:rPr>
        <w:t>al-Jam‛iyya al-Sūriyya li-Iktisāb al-‛Ulūm wa al-Funūn</w:t>
      </w:r>
      <w:r w:rsidRPr="00440B9F">
        <w:rPr>
          <w:rFonts w:ascii="Palatino Linotype" w:hAnsi="Palatino Linotype"/>
          <w:b/>
          <w:bCs/>
          <w:i/>
          <w:sz w:val="22"/>
          <w:szCs w:val="22"/>
          <w:lang w:val="en-GB"/>
        </w:rPr>
        <w:t xml:space="preserve"> </w:t>
      </w:r>
      <w:r w:rsidRPr="00440B9F">
        <w:rPr>
          <w:rFonts w:ascii="Palatino Linotype" w:hAnsi="Palatino Linotype"/>
          <w:bCs/>
          <w:sz w:val="22"/>
          <w:szCs w:val="22"/>
          <w:lang w:val="en-GB"/>
        </w:rPr>
        <w:t>(The Syrian Society for the Acquisition of Sciences and Arts), which was a literary and scientific salon that ran from 1847-1852.</w:t>
      </w:r>
      <w:r w:rsidRPr="00440B9F">
        <w:rPr>
          <w:rStyle w:val="FootnoteReference"/>
          <w:rFonts w:ascii="Palatino Linotype" w:hAnsi="Palatino Linotype"/>
          <w:bCs/>
          <w:sz w:val="22"/>
          <w:szCs w:val="22"/>
          <w:lang w:val="en-GB"/>
        </w:rPr>
        <w:footnoteReference w:id="15"/>
      </w:r>
      <w:r w:rsidRPr="00440B9F">
        <w:rPr>
          <w:rFonts w:ascii="Palatino Linotype" w:hAnsi="Palatino Linotype"/>
          <w:bCs/>
          <w:sz w:val="22"/>
          <w:szCs w:val="22"/>
          <w:lang w:val="en-GB"/>
        </w:rPr>
        <w:t xml:space="preserve"> The Native Assistants were key figures in o</w:t>
      </w:r>
      <w:r w:rsidRPr="00440B9F">
        <w:rPr>
          <w:rFonts w:ascii="Palatino Linotype" w:hAnsi="Palatino Linotype"/>
          <w:sz w:val="22"/>
          <w:szCs w:val="22"/>
          <w:lang w:val="en-GB"/>
        </w:rPr>
        <w:t>rganising and administering the ECB (f. 1847) and were fundamental in translating Protestantism to other Syrians.</w:t>
      </w:r>
      <w:r w:rsidRPr="00440B9F">
        <w:rPr>
          <w:rStyle w:val="FootnoteReference"/>
          <w:rFonts w:ascii="Palatino Linotype" w:hAnsi="Palatino Linotype"/>
          <w:sz w:val="22"/>
          <w:szCs w:val="22"/>
          <w:lang w:val="en-GB"/>
        </w:rPr>
        <w:footnoteReference w:id="16"/>
      </w:r>
      <w:r w:rsidRPr="00440B9F">
        <w:rPr>
          <w:rFonts w:ascii="Palatino Linotype" w:hAnsi="Palatino Linotype"/>
          <w:sz w:val="22"/>
          <w:szCs w:val="22"/>
          <w:lang w:val="en-GB"/>
        </w:rPr>
        <w:t xml:space="preserve"> While the ABCFM missionaries maintained a supervisory position over Syrian ‘presbyters’, the ECB was recognised as a separate entity from the ABCFM’s Mission Church by 1850, for it focused upon Arabic-language services, while the Mission Church provided English services.</w:t>
      </w:r>
      <w:r w:rsidRPr="00440B9F">
        <w:rPr>
          <w:rStyle w:val="FootnoteReference"/>
          <w:rFonts w:ascii="Palatino Linotype" w:hAnsi="Palatino Linotype"/>
          <w:sz w:val="22"/>
          <w:szCs w:val="22"/>
          <w:lang w:val="en-GB"/>
        </w:rPr>
        <w:footnoteReference w:id="17"/>
      </w:r>
      <w:r w:rsidRPr="00440B9F">
        <w:rPr>
          <w:rFonts w:ascii="Palatino Linotype" w:hAnsi="Palatino Linotype"/>
          <w:sz w:val="22"/>
          <w:szCs w:val="22"/>
          <w:lang w:val="en-GB"/>
        </w:rPr>
        <w:t xml:space="preserve"> Thus, Native Assistants formed an elite amongst Syrian Protestants, but were marginalised by the ABCFM male missionaries away from the central most position within the Circle.</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Syrian Protestant children can be identified as another group within the Protestant Circle. These were either the children of Protestant parents (or one parent), or the children of non-Protestants who were educated by the ABCFM missionaries. Most of the boys in this group studied at the Protestant Seminary, which was first located in Beirut, but relocated to Abeih in 1846. The girls (who will be referred to as ‘young’ women) were often ‘adopted’ boarding students who lived in the homes of the missionaries or studied at the Female Boarding School or Female Seminary, which was first organised by Henry and Catherine DeForest in 1849.</w:t>
      </w:r>
      <w:r w:rsidRPr="00440B9F">
        <w:rPr>
          <w:rStyle w:val="FootnoteReference"/>
          <w:rFonts w:ascii="Palatino Linotype" w:hAnsi="Palatino Linotype"/>
          <w:sz w:val="22"/>
          <w:szCs w:val="22"/>
          <w:lang w:val="en-GB"/>
        </w:rPr>
        <w:footnoteReference w:id="18"/>
      </w:r>
      <w:r w:rsidRPr="00440B9F">
        <w:rPr>
          <w:rFonts w:ascii="Palatino Linotype" w:hAnsi="Palatino Linotype"/>
          <w:sz w:val="22"/>
          <w:szCs w:val="22"/>
          <w:lang w:val="en-GB"/>
        </w:rPr>
        <w:t xml:space="preserve"> Due to their formal and informal education, Syrian Protestant children, both male and female, acquired high levels of Protestant capital, which included a secular, academic knowledge. When compared to missionary children however, Syrian Protestant children had to repeatedly demonstrate their Protestant religious commitment, reflecting the inequality based upon race that plagued the Protestant Circle.</w:t>
      </w:r>
      <w:r w:rsidRPr="00440B9F">
        <w:rPr>
          <w:rStyle w:val="FootnoteReference"/>
          <w:rFonts w:ascii="Palatino Linotype" w:hAnsi="Palatino Linotype"/>
          <w:sz w:val="22"/>
          <w:szCs w:val="22"/>
          <w:lang w:val="en-GB"/>
        </w:rPr>
        <w:footnoteReference w:id="19"/>
      </w:r>
      <w:r w:rsidRPr="00440B9F">
        <w:rPr>
          <w:rFonts w:ascii="Palatino Linotype" w:hAnsi="Palatino Linotype"/>
          <w:sz w:val="22"/>
          <w:szCs w:val="22"/>
          <w:lang w:val="en-GB"/>
        </w:rPr>
        <w:t xml:space="preserve"> Noticeably, it was often with the Syrian Protestant children (when they were adults) that alternatives and challenges to the ABCFM were articulated and pursued. During the period under review however, the social and familial networks of Syrian Protestant children focused upon the Protestant Circle.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Often positioned beyond Syrian Protestant children in this stratification were the Syrian Protestant women who converted to Protestantism as adults. These women either joined the Circle after the conversion of their husbands or sons, or were employed by the Protestants, often as maids. As members of the Protestant Circle, these women participated in church activities, assisted in educational services and occasionally resided in the households of the ABCFM missionaries. It appears that many of the normative characteristics for Protestantism that were articulated by the Protestant elite were more difficult for these women to embody and as a result, they were often relegated to marginal positions within the Circle.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Beirut served as the geographic focus for the Protestant Circle, so that the Syrian Protestants who lived outside of this city were often designated to peripheral positions within the Protestant Circle. Nonetheless, a number of residents on Mount Lebanon voiced their desire to become Protestants, particularly during the 1840s and 1850. This allowed for Protestant communities to be found in Abeih, Hasbaya, Sidon, Bhamdoun, Kfarchima, Rashiya, Ibel, Khizem, Souq al-Gharb, Alma, Homs and Duma by 1860. This geographic distance reflected a social and cultural distance that separated these converts from the residents of Beirut, particularly the ABCFM missionaries and elite Syrian Protestants. For example, some of the Syrian Protestants on Mount Lebanon sought affiliations with the ABCFM missionaries and Native Assistants during periods of war. The ABCFM missionaries questioned the integrity of these conversions so that the converts were forced to repeatedly prove their Protestant commitment. Proof of commitment included membership of the ECB, which was granted to the few, who, after a rigorous evaluation process conducted by the ABCFM missionaries and Native Assistants, ‘properly’ performed the Protestantism outlined in the ECB constitution.</w:t>
      </w:r>
      <w:r w:rsidRPr="00440B9F">
        <w:rPr>
          <w:rStyle w:val="FootnoteReference"/>
          <w:rFonts w:ascii="Palatino Linotype" w:hAnsi="Palatino Linotype"/>
          <w:sz w:val="22"/>
          <w:szCs w:val="22"/>
          <w:lang w:val="en-GB"/>
        </w:rPr>
        <w:footnoteReference w:id="20"/>
      </w:r>
      <w:r w:rsidRPr="00440B9F">
        <w:rPr>
          <w:rFonts w:ascii="Palatino Linotype" w:hAnsi="Palatino Linotype"/>
          <w:sz w:val="22"/>
          <w:szCs w:val="22"/>
          <w:lang w:val="en-GB"/>
        </w:rPr>
        <w:t xml:space="preserve"> As a result, the number of the Syrians who proclaimed to be Protestants outnumbered those actually admitted as members to the ECB and officially recognised as Protestants.</w:t>
      </w:r>
      <w:r w:rsidRPr="00440B9F">
        <w:rPr>
          <w:rStyle w:val="FootnoteReference"/>
          <w:rFonts w:ascii="Palatino Linotype" w:hAnsi="Palatino Linotype"/>
          <w:sz w:val="22"/>
          <w:szCs w:val="22"/>
          <w:lang w:val="en-GB"/>
        </w:rPr>
        <w:footnoteReference w:id="21"/>
      </w:r>
      <w:r w:rsidRPr="00440B9F">
        <w:rPr>
          <w:rFonts w:ascii="Palatino Linotype" w:hAnsi="Palatino Linotype"/>
          <w:sz w:val="22"/>
          <w:szCs w:val="22"/>
          <w:lang w:val="en-GB"/>
        </w:rPr>
        <w:t xml:space="preserve"> This inconsistency represented an important challenge to the ABCFM missionaries’ control over Protestantism in Syria.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The Syrians who associated with the ABCFM missionaries and Syrian Protestants, but rejected the Protestant faith, are regarded as being along the edges of the Protestant Circle. These were members of the economic and political elite of Mount Lebanon, including the Druze and Maronite </w:t>
      </w:r>
      <w:r w:rsidRPr="00440B9F">
        <w:rPr>
          <w:rFonts w:ascii="Palatino Linotype" w:hAnsi="Palatino Linotype"/>
          <w:i/>
          <w:sz w:val="22"/>
          <w:szCs w:val="22"/>
          <w:lang w:val="en-GB"/>
        </w:rPr>
        <w:t>muqata‘j</w:t>
      </w:r>
      <w:r w:rsidRPr="00440B9F">
        <w:rPr>
          <w:rFonts w:ascii="Palatino Linotype" w:hAnsi="Palatino Linotype"/>
          <w:bCs/>
          <w:i/>
          <w:sz w:val="22"/>
          <w:szCs w:val="22"/>
          <w:lang w:val="en-GB"/>
        </w:rPr>
        <w:t>ī</w:t>
      </w:r>
      <w:r w:rsidRPr="00440B9F">
        <w:rPr>
          <w:rFonts w:ascii="Palatino Linotype" w:hAnsi="Palatino Linotype"/>
          <w:i/>
          <w:sz w:val="22"/>
          <w:szCs w:val="22"/>
          <w:lang w:val="en-GB"/>
        </w:rPr>
        <w:t xml:space="preserve">yyah </w:t>
      </w:r>
      <w:r w:rsidRPr="00440B9F">
        <w:rPr>
          <w:rFonts w:ascii="Palatino Linotype" w:hAnsi="Palatino Linotype"/>
          <w:sz w:val="22"/>
          <w:szCs w:val="22"/>
          <w:lang w:val="en-GB"/>
        </w:rPr>
        <w:t>and the Ottoman officials who resided in Beirut. Despite their differences in faith, some of these individuals befriended the ABCFM missionaries and Syrian Protestants, called upon the ABCFM missionary doctors, invited the Protestants to celebrate marriages and occasionally sent their children to Protestant schools.</w:t>
      </w:r>
      <w:r w:rsidRPr="00440B9F">
        <w:rPr>
          <w:rStyle w:val="FootnoteReference"/>
          <w:rFonts w:ascii="Palatino Linotype" w:hAnsi="Palatino Linotype"/>
          <w:sz w:val="22"/>
          <w:szCs w:val="22"/>
          <w:lang w:val="en-GB"/>
        </w:rPr>
        <w:footnoteReference w:id="22"/>
      </w:r>
      <w:r w:rsidRPr="00440B9F">
        <w:rPr>
          <w:rFonts w:ascii="Palatino Linotype" w:hAnsi="Palatino Linotype"/>
          <w:sz w:val="22"/>
          <w:szCs w:val="22"/>
          <w:lang w:val="en-GB"/>
        </w:rPr>
        <w:t xml:space="preserve"> Such individuals were considered by the Protestants as enlightened and modern, but not evangelical, thus justifying their peripheral position along the Protestant Circle.</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Likewise, non-Protestant Syrian employees of the ABCFM missionaries and Syrian Protestants were also located along the periphery of the Circle. While some hired help converted to Protestantism and became active members of the community, most employees maintained commitments to their original churches, families and social customs.</w:t>
      </w:r>
      <w:r w:rsidRPr="00440B9F">
        <w:rPr>
          <w:rStyle w:val="FootnoteReference"/>
          <w:rFonts w:ascii="Palatino Linotype" w:hAnsi="Palatino Linotype"/>
          <w:sz w:val="22"/>
          <w:szCs w:val="22"/>
          <w:lang w:val="en-GB"/>
        </w:rPr>
        <w:footnoteReference w:id="23"/>
      </w:r>
      <w:r w:rsidRPr="00440B9F">
        <w:rPr>
          <w:rFonts w:ascii="Palatino Linotype" w:hAnsi="Palatino Linotype"/>
          <w:sz w:val="22"/>
          <w:szCs w:val="22"/>
          <w:lang w:val="en-GB"/>
        </w:rPr>
        <w:t xml:space="preserve"> Their inclusion in the Protestant Circle is due to their knowledge of Protestant culture and their ability to assistant the Protestants in performing their various activities. For example, non-Protestant employees often participated in Protestant ceremonies, prepared appropriate foods and ensured that Protestant homes were suitably cleaned and arranged.</w:t>
      </w:r>
      <w:r w:rsidRPr="00440B9F">
        <w:rPr>
          <w:rStyle w:val="FootnoteReference"/>
          <w:rFonts w:ascii="Palatino Linotype" w:hAnsi="Palatino Linotype"/>
          <w:sz w:val="22"/>
          <w:szCs w:val="22"/>
          <w:lang w:val="en-GB"/>
        </w:rPr>
        <w:footnoteReference w:id="24"/>
      </w:r>
      <w:r w:rsidRPr="00440B9F">
        <w:rPr>
          <w:rFonts w:ascii="Palatino Linotype" w:hAnsi="Palatino Linotype"/>
          <w:sz w:val="22"/>
          <w:szCs w:val="22"/>
          <w:lang w:val="en-GB"/>
        </w:rPr>
        <w:t xml:space="preserve"> In addition, the protégée system operating in the Ottoman Empire allowed for the employees of ‘Franks’ to be regarded as members of the foreigner’s household and receive diplomatic protection by the employer’s government. Providing this protection was important, since working for the Protestants occasionally ignited negative reactions against the Syrian employees from their families and religious communities.</w:t>
      </w:r>
      <w:r w:rsidRPr="00440B9F">
        <w:rPr>
          <w:rStyle w:val="FootnoteReference"/>
          <w:rFonts w:ascii="Palatino Linotype" w:hAnsi="Palatino Linotype"/>
          <w:sz w:val="22"/>
          <w:szCs w:val="22"/>
          <w:lang w:val="en-GB"/>
        </w:rPr>
        <w:footnoteReference w:id="25"/>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Certain groups were excluded from the Protestant Circle during the period of 1823 to 1860. The ABCFM missionaries and some Syrian Protestants argued that the culture, as well as religion, of Roman Catholic missionaries was antagonistic to Protestant endeavours, despite the comparable emphasis on literacy and personal conversion.</w:t>
      </w:r>
      <w:r w:rsidRPr="00440B9F">
        <w:rPr>
          <w:rStyle w:val="FootnoteReference"/>
          <w:rFonts w:ascii="Palatino Linotype" w:hAnsi="Palatino Linotype"/>
          <w:sz w:val="22"/>
          <w:szCs w:val="22"/>
          <w:lang w:val="en-GB"/>
        </w:rPr>
        <w:footnoteReference w:id="26"/>
      </w:r>
      <w:r w:rsidRPr="00440B9F">
        <w:rPr>
          <w:rFonts w:ascii="Palatino Linotype" w:hAnsi="Palatino Linotype"/>
          <w:sz w:val="22"/>
          <w:szCs w:val="22"/>
          <w:lang w:val="en-GB"/>
        </w:rPr>
        <w:t xml:space="preserve"> Similarly, many of the leaders and congregants of the Maronite, Greek Orthodox and Greek Catholic Churches, including the </w:t>
      </w:r>
      <w:r w:rsidRPr="00440B9F">
        <w:rPr>
          <w:rFonts w:ascii="Palatino Linotype" w:hAnsi="Palatino Linotype"/>
          <w:bCs/>
          <w:i/>
          <w:sz w:val="22"/>
          <w:szCs w:val="22"/>
          <w:lang w:val="en-GB"/>
        </w:rPr>
        <w:t>‛abidāt</w:t>
      </w:r>
      <w:r w:rsidRPr="00440B9F">
        <w:rPr>
          <w:rFonts w:ascii="Palatino Linotype" w:hAnsi="Palatino Linotype"/>
          <w:sz w:val="22"/>
          <w:szCs w:val="22"/>
          <w:lang w:val="en-GB"/>
        </w:rPr>
        <w:t>, were regarded as different from the Protestants. The ABCFM also argued that the culture of heterodox Protestant missionaries, like the Mormons, was inherently different from their own and they were not included within the Circle. Another group who were positioned outside the Protestant community were the ‘Levantines’. These were the European, American and Syrian merchants, who resided in Beirut and other port cities, and engaged in secular and ‘debased’ activities.</w:t>
      </w:r>
      <w:r w:rsidRPr="00440B9F">
        <w:rPr>
          <w:rStyle w:val="FootnoteReference"/>
          <w:rFonts w:ascii="Palatino Linotype" w:hAnsi="Palatino Linotype"/>
          <w:sz w:val="22"/>
          <w:szCs w:val="22"/>
          <w:lang w:val="en-GB"/>
        </w:rPr>
        <w:footnoteReference w:id="27"/>
      </w:r>
      <w:r w:rsidRPr="00440B9F">
        <w:rPr>
          <w:rFonts w:ascii="Palatino Linotype" w:hAnsi="Palatino Linotype"/>
          <w:sz w:val="22"/>
          <w:szCs w:val="22"/>
          <w:lang w:val="en-GB"/>
        </w:rPr>
        <w:t xml:space="preserve"> Lastly, heterodox Muslims were also excluded from the Protestant Circle. Due to the difficulties faced by the ABCFM missionaries in the Middle East stemming from the Ottoman prohibition against apostasy from Islam, especially Sunni Islam, the ABCFM narrowed their focus onto witnessing to the Christian and occasionally Druze and Jewish residents of the region soon after their arrival.</w:t>
      </w:r>
      <w:r w:rsidRPr="00440B9F">
        <w:rPr>
          <w:rStyle w:val="FootnoteReference"/>
          <w:rFonts w:ascii="Palatino Linotype" w:hAnsi="Palatino Linotype"/>
          <w:sz w:val="22"/>
          <w:szCs w:val="22"/>
          <w:lang w:val="en-GB"/>
        </w:rPr>
        <w:footnoteReference w:id="28"/>
      </w:r>
      <w:r w:rsidRPr="00440B9F">
        <w:rPr>
          <w:rFonts w:ascii="Palatino Linotype" w:hAnsi="Palatino Linotype"/>
          <w:sz w:val="22"/>
          <w:szCs w:val="22"/>
          <w:lang w:val="en-GB"/>
        </w:rPr>
        <w:t xml:space="preserve"> As a result, most of the Protestants’ Muslim neighbours were not regularly engaged with and function as a silenced group within the history of Protestantism in Ottoman Syria.</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Identifying these groups and their position within or excluded from the Protestant Circle is an essential starting point for analysing this community. Subsequent sections will examine how this structuring was manifested in the lives of these different individuals and at specific locations within Ottoman Syria.</w:t>
      </w: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pStyle w:val="BodyText"/>
        <w:spacing w:line="360" w:lineRule="auto"/>
        <w:jc w:val="center"/>
        <w:rPr>
          <w:rFonts w:ascii="Arial" w:hAnsi="Arial" w:cs="Arial"/>
          <w:smallCaps/>
          <w:sz w:val="22"/>
          <w:szCs w:val="22"/>
          <w:lang w:val="en-GB"/>
        </w:rPr>
      </w:pPr>
      <w:r w:rsidRPr="00440B9F">
        <w:rPr>
          <w:rFonts w:ascii="Arial" w:hAnsi="Arial" w:cs="Arial"/>
          <w:smallCaps/>
          <w:sz w:val="22"/>
          <w:szCs w:val="22"/>
          <w:lang w:val="en-GB"/>
        </w:rPr>
        <w:t>Locating the Circle</w:t>
      </w:r>
    </w:p>
    <w:p w:rsidR="007F7DD4" w:rsidRPr="00440B9F" w:rsidRDefault="007F7DD4" w:rsidP="001761FF">
      <w:pPr>
        <w:pStyle w:val="BodyText"/>
        <w:spacing w:line="360" w:lineRule="auto"/>
        <w:jc w:val="both"/>
        <w:rPr>
          <w:rFonts w:ascii="Arial" w:hAnsi="Arial" w:cs="Arial"/>
          <w:smallCaps/>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Beirut was the geographic centre of the Protestant Circle, for it was at this location that many Protestants resided and where their important institutions were located or originated.</w:t>
      </w:r>
      <w:r w:rsidRPr="00440B9F">
        <w:rPr>
          <w:rStyle w:val="FootnoteReference"/>
          <w:rFonts w:ascii="Palatino Linotype" w:hAnsi="Palatino Linotype"/>
          <w:sz w:val="22"/>
          <w:szCs w:val="22"/>
          <w:lang w:val="en-GB"/>
        </w:rPr>
        <w:footnoteReference w:id="29"/>
      </w:r>
      <w:r w:rsidRPr="00440B9F">
        <w:rPr>
          <w:rFonts w:ascii="Palatino Linotype" w:hAnsi="Palatino Linotype"/>
          <w:sz w:val="22"/>
          <w:szCs w:val="22"/>
          <w:lang w:val="en-GB"/>
        </w:rPr>
        <w:t xml:space="preserve"> This section examines the Protestants’ relationship with Beirut, exploring how the emergence of Beirut as the prominent port city of the region, allowed for the development of the Protestant Circle.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a shift in focus by Syrians towards Beirut commenced in the eighteenth century, when a number of Aleppine Christians established convents on Mount Lebanon, it was during the Egyptian occupation of the 1830s that Beirut became the political and economic focus of the Syrian region. Internal immigration to this location expanded during the 1840s and 1850s, when many Syrians pursued the new social, political and economic opportunities that arose at this location, particularly those connected to Ottoman and European imperial interests, such as merchants, dragomen and government administrators. Although war forced some to flee to this city, the choice of permanent resettlement in Beirut, instead of Damascus, Acre, Sidon or Aleppo, resulted from Syrians’ belief that Beirut offered the best opportunities for their social, political and/or economic development.</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In contrast, the selection of Beirut by the ABCFM missionaries, as a base for their Syrian Station, was a somewhat haphazard choice. The ‘Near East mission’ was originally planned for Palestine, but was quickly reconsidered due to a number of factors. The aim of the ABCFM was to target all ‘who are destitute of the knowledge of Christianity’.</w:t>
      </w:r>
      <w:r w:rsidRPr="00440B9F">
        <w:rPr>
          <w:rStyle w:val="FootnoteReference"/>
          <w:rFonts w:ascii="Palatino Linotype" w:hAnsi="Palatino Linotype"/>
          <w:sz w:val="22"/>
          <w:szCs w:val="22"/>
          <w:lang w:val="en-GB"/>
        </w:rPr>
        <w:footnoteReference w:id="30"/>
      </w:r>
      <w:r w:rsidRPr="00440B9F">
        <w:rPr>
          <w:rFonts w:ascii="Palatino Linotype" w:hAnsi="Palatino Linotype"/>
          <w:sz w:val="22"/>
          <w:szCs w:val="22"/>
          <w:lang w:val="en-GB"/>
        </w:rPr>
        <w:t xml:space="preserve"> As a result, the exploratory travels of Pliny Fisk, Levi Parsons and Jonas King reached beyond Palestine and included Malta, Alexandria, Cairo, Jerusalem, Smyrna, the Greek Islands, as well as Beirut and Mount Lebanon.</w:t>
      </w:r>
      <w:r w:rsidRPr="00440B9F">
        <w:rPr>
          <w:rStyle w:val="FootnoteReference"/>
          <w:rFonts w:ascii="Palatino Linotype" w:hAnsi="Palatino Linotype"/>
          <w:sz w:val="22"/>
          <w:szCs w:val="22"/>
          <w:lang w:val="en-GB"/>
        </w:rPr>
        <w:footnoteReference w:id="31"/>
      </w:r>
      <w:r w:rsidRPr="00440B9F">
        <w:rPr>
          <w:rFonts w:ascii="Palatino Linotype" w:hAnsi="Palatino Linotype"/>
          <w:sz w:val="22"/>
          <w:szCs w:val="22"/>
          <w:lang w:val="en-GB"/>
        </w:rPr>
        <w:t xml:space="preserve"> It was from these explorations, and upon the advice of the British CMS and LJS, that Beirut was chosen, in 1823, as the most advantageous location for the settlement of Bird and Goodell.</w:t>
      </w:r>
      <w:r w:rsidRPr="00440B9F">
        <w:rPr>
          <w:rStyle w:val="FootnoteReference"/>
          <w:rFonts w:ascii="Palatino Linotype" w:hAnsi="Palatino Linotype"/>
          <w:sz w:val="22"/>
          <w:szCs w:val="22"/>
          <w:lang w:val="en-GB"/>
        </w:rPr>
        <w:footnoteReference w:id="32"/>
      </w:r>
      <w:r w:rsidRPr="00440B9F">
        <w:rPr>
          <w:rFonts w:ascii="Palatino Linotype" w:hAnsi="Palatino Linotype"/>
          <w:sz w:val="22"/>
          <w:szCs w:val="22"/>
          <w:lang w:val="en-GB"/>
        </w:rPr>
        <w:t xml:space="preserve"> Other justifications for this choice were Beirut’s favourable climate and its being the residency of the then British Consul, Peter Abbott, who served as the diplomatic representative for all British and American residents in Syria from 1822-1834.</w:t>
      </w:r>
      <w:r w:rsidRPr="00440B9F">
        <w:rPr>
          <w:rStyle w:val="FootnoteReference"/>
          <w:rFonts w:ascii="Palatino Linotype" w:hAnsi="Palatino Linotype"/>
          <w:sz w:val="22"/>
          <w:szCs w:val="22"/>
          <w:lang w:val="en-GB"/>
        </w:rPr>
        <w:footnoteReference w:id="33"/>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noProof/>
          <w:sz w:val="22"/>
          <w:szCs w:val="22"/>
          <w:lang w:val="en-GB"/>
        </w:rPr>
        <w:pict>
          <v:shape id="_x0000_s1058" type="#_x0000_t75" style="position:absolute;left:0;text-align:left;margin-left:205.85pt;margin-top:159.95pt;width:222.9pt;height:328.35pt;z-index:-3;mso-position-horizontal-relative:margin;mso-position-vertical-relative:page" wrapcoords="-80 -55 -80 21600 21680 21600 21680 -55 -80 -55" o:bordertopcolor="this" o:borderleftcolor="this" o:borderbottomcolor="this" o:borderrightcolor="this" stroked="t" strokeweight=".5pt">
            <v:imagedata r:id="rId10" o:title="burj bird, the old mission house" grayscale="t"/>
            <w10:wrap type="tight" anchorx="margin" anchory="page"/>
          </v:shape>
        </w:pict>
      </w:r>
      <w:r w:rsidRPr="00440B9F">
        <w:rPr>
          <w:rFonts w:ascii="Palatino Linotype" w:hAnsi="Palatino Linotype"/>
          <w:sz w:val="22"/>
          <w:szCs w:val="22"/>
          <w:lang w:val="en-GB"/>
        </w:rPr>
        <w:tab/>
        <w:t>Once Beirut became the central location for the Syrian Station, buildings were needed to conduct evangelical work and for the residences of the new missionaries. During the 1820s, land and buildings throughout the Ottoman Empire could not be purchased by foreigners.</w:t>
      </w:r>
      <w:r w:rsidRPr="00440B9F">
        <w:rPr>
          <w:rStyle w:val="FootnoteReference"/>
          <w:rFonts w:ascii="Palatino Linotype" w:hAnsi="Palatino Linotype"/>
          <w:sz w:val="22"/>
          <w:szCs w:val="22"/>
          <w:lang w:val="en-GB"/>
        </w:rPr>
        <w:footnoteReference w:id="34"/>
      </w:r>
      <w:r w:rsidRPr="00440B9F">
        <w:rPr>
          <w:rFonts w:ascii="Palatino Linotype" w:hAnsi="Palatino Linotype"/>
          <w:sz w:val="22"/>
          <w:szCs w:val="22"/>
          <w:lang w:val="en-GB"/>
        </w:rPr>
        <w:t xml:space="preserve"> Instead, property was rented through Ottoman subjects for extended periods of times.</w:t>
      </w:r>
      <w:r w:rsidRPr="00440B9F">
        <w:rPr>
          <w:rStyle w:val="FootnoteReference"/>
          <w:rFonts w:ascii="Palatino Linotype" w:hAnsi="Palatino Linotype"/>
          <w:sz w:val="22"/>
          <w:szCs w:val="22"/>
          <w:lang w:val="en-GB"/>
        </w:rPr>
        <w:footnoteReference w:id="35"/>
      </w:r>
      <w:r w:rsidRPr="00440B9F">
        <w:rPr>
          <w:rFonts w:ascii="Palatino Linotype" w:hAnsi="Palatino Linotype"/>
          <w:sz w:val="22"/>
          <w:szCs w:val="22"/>
          <w:lang w:val="en-GB"/>
        </w:rPr>
        <w:t xml:space="preserve"> Being a new group within the region, the ABCFM was limited in both the individuals to employ as brokers and the buildings to rent. Despite these difficulties, both Goodell and Bird secured two different houses outside of Beirut’s city walls by the late 1820s. It appears that the Goodells’ house was in the eastern suburbs, while the Birds’ house was located to the south of </w:t>
      </w:r>
      <w:r w:rsidRPr="00440B9F">
        <w:rPr>
          <w:rFonts w:ascii="Palatino Linotype" w:hAnsi="Palatino Linotype"/>
          <w:i/>
          <w:sz w:val="22"/>
          <w:szCs w:val="22"/>
          <w:lang w:val="en-GB"/>
        </w:rPr>
        <w:t>Bab Ya‘qoub</w:t>
      </w:r>
      <w:r w:rsidRPr="00440B9F">
        <w:rPr>
          <w:rFonts w:ascii="Palatino Linotype" w:hAnsi="Palatino Linotype"/>
          <w:sz w:val="22"/>
          <w:szCs w:val="22"/>
          <w:lang w:val="en-GB"/>
        </w:rPr>
        <w:t xml:space="preserve"> (Jacob’s gate). Although neither information on the original brokers, nor the owners of these buildings has been found within the missionary sources, it appears that the ABCFM’s connection to the Birds’ house commenced before 1825, for it was in the adjacent garden that the body of Pliny Fisk was buried.</w:t>
      </w:r>
      <w:r w:rsidRPr="00440B9F">
        <w:rPr>
          <w:rFonts w:ascii="Palatino Linotype" w:hAnsi="Palatino Linotype"/>
          <w:sz w:val="22"/>
          <w:szCs w:val="22"/>
          <w:vertAlign w:val="superscript"/>
          <w:lang w:val="en-GB"/>
        </w:rPr>
        <w:footnoteReference w:id="36"/>
      </w:r>
      <w:r w:rsidRPr="00440B9F">
        <w:rPr>
          <w:rFonts w:ascii="Palatino Linotype" w:hAnsi="Palatino Linotype"/>
          <w:sz w:val="22"/>
          <w:szCs w:val="22"/>
          <w:lang w:val="en-GB"/>
        </w:rPr>
        <w:t xml:space="preserve"> Both of these houses may have been originally ‘depots, workshops or watchmen’s houses’, which were scattered around Beirut’s suburban plantations.</w:t>
      </w:r>
      <w:r w:rsidRPr="00440B9F">
        <w:rPr>
          <w:rStyle w:val="FootnoteReference"/>
          <w:rFonts w:ascii="Palatino Linotype" w:hAnsi="Palatino Linotype"/>
          <w:sz w:val="22"/>
          <w:szCs w:val="22"/>
          <w:lang w:val="en-GB"/>
        </w:rPr>
        <w:footnoteReference w:id="37"/>
      </w:r>
      <w:r w:rsidRPr="00440B9F">
        <w:rPr>
          <w:rFonts w:ascii="Palatino Linotype" w:hAnsi="Palatino Linotype"/>
          <w:sz w:val="22"/>
          <w:szCs w:val="22"/>
          <w:lang w:val="en-GB"/>
        </w:rPr>
        <w:t xml:space="preserve"> Although the Bird family temporarily relocated to the Goodell house in 1831,</w:t>
      </w:r>
      <w:r w:rsidRPr="00440B9F">
        <w:rPr>
          <w:rStyle w:val="FootnoteReference"/>
          <w:rFonts w:ascii="Palatino Linotype" w:hAnsi="Palatino Linotype"/>
          <w:sz w:val="22"/>
          <w:szCs w:val="22"/>
          <w:lang w:val="en-GB"/>
        </w:rPr>
        <w:footnoteReference w:id="38"/>
      </w:r>
      <w:r w:rsidRPr="00440B9F">
        <w:rPr>
          <w:rFonts w:ascii="Palatino Linotype" w:hAnsi="Palatino Linotype"/>
          <w:sz w:val="22"/>
          <w:szCs w:val="22"/>
          <w:lang w:val="en-GB"/>
        </w:rPr>
        <w:t xml:space="preserve"> it was the Bird family’s original house that became known as ‘Burj Bird’ (the tower of Bird) or the ‘Mission House’, which affirms its original function as a garden watchtower and its new role as the central space for the Protestant Circle.</w:t>
      </w:r>
      <w:r w:rsidRPr="00440B9F">
        <w:rPr>
          <w:rStyle w:val="FootnoteReference"/>
          <w:rFonts w:ascii="Palatino Linotype" w:hAnsi="Palatino Linotype"/>
          <w:sz w:val="22"/>
          <w:szCs w:val="22"/>
          <w:lang w:val="en-GB"/>
        </w:rPr>
        <w:footnoteReference w:id="39"/>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Subsequent rent renewals for these properties reinforced the development of the Protestant Circle and reveals Syrian customs on property ‘ownership’. In 1831, two notes were logged in the British consular records. On 1 February, Gabriel Chasseaud, ‘deemed it </w:t>
      </w:r>
      <w:r w:rsidRPr="00440B9F">
        <w:rPr>
          <w:rFonts w:ascii="Palatino Linotype" w:hAnsi="Palatino Linotype"/>
          <w:i/>
          <w:sz w:val="22"/>
          <w:szCs w:val="22"/>
          <w:lang w:val="en-GB"/>
        </w:rPr>
        <w:t>necessary</w:t>
      </w:r>
      <w:r w:rsidRPr="00440B9F">
        <w:rPr>
          <w:rFonts w:ascii="Palatino Linotype" w:hAnsi="Palatino Linotype"/>
          <w:sz w:val="22"/>
          <w:szCs w:val="22"/>
          <w:lang w:val="en-GB"/>
        </w:rPr>
        <w:t xml:space="preserve"> to take into the service of this our consulate, Tannous El Haddad, to take [illegible word: possession of] the Protestant Burying Ground and adjoining premises, and [I] do herby [illegible word: grant] him to that change.’</w:t>
      </w:r>
      <w:r w:rsidRPr="00440B9F">
        <w:rPr>
          <w:rStyle w:val="FootnoteReference"/>
          <w:rFonts w:ascii="Palatino Linotype" w:hAnsi="Palatino Linotype"/>
          <w:sz w:val="22"/>
          <w:szCs w:val="22"/>
          <w:lang w:val="en-GB"/>
        </w:rPr>
        <w:footnoteReference w:id="40"/>
      </w:r>
      <w:r w:rsidRPr="00440B9F">
        <w:rPr>
          <w:rFonts w:ascii="Palatino Linotype" w:hAnsi="Palatino Linotype"/>
          <w:sz w:val="22"/>
          <w:szCs w:val="22"/>
          <w:lang w:val="en-GB"/>
        </w:rPr>
        <w:t xml:space="preserve"> The following day it was recorded in Arabic and translated into English, that: </w:t>
      </w:r>
    </w:p>
    <w:p w:rsidR="007F7DD4" w:rsidRDefault="007F7DD4"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[t]he above is the personal declaration of Tannoos el Haddad [</w:t>
      </w:r>
      <w:r w:rsidRPr="00440B9F">
        <w:rPr>
          <w:rFonts w:ascii="Palatino Linotype" w:hAnsi="Palatino Linotype"/>
          <w:i/>
          <w:sz w:val="22"/>
          <w:szCs w:val="22"/>
          <w:lang w:val="en-GB"/>
        </w:rPr>
        <w:t>sic</w:t>
      </w:r>
      <w:r w:rsidRPr="00440B9F">
        <w:rPr>
          <w:rFonts w:ascii="Palatino Linotype" w:hAnsi="Palatino Linotype"/>
          <w:sz w:val="22"/>
          <w:szCs w:val="22"/>
          <w:lang w:val="en-GB"/>
        </w:rPr>
        <w:t>] purchaser of a place consisting of a house and garden in this vicinity called Beit Mikdash, which declaration shows that the said purchase was not for his own benefit but for that of the Rev. Isaac Bird, his heirs and assigns or successors, with whose money the said purchase was made.</w:t>
      </w:r>
      <w:r w:rsidRPr="00440B9F">
        <w:rPr>
          <w:rStyle w:val="FootnoteReference"/>
          <w:rFonts w:ascii="Palatino Linotype" w:hAnsi="Palatino Linotype"/>
          <w:sz w:val="22"/>
          <w:szCs w:val="22"/>
          <w:lang w:val="en-GB"/>
        </w:rPr>
        <w:footnoteReference w:id="41"/>
      </w:r>
    </w:p>
    <w:p w:rsidR="007F7DD4" w:rsidRPr="00440B9F" w:rsidRDefault="007F7DD4" w:rsidP="001761FF">
      <w:pPr>
        <w:pStyle w:val="BodyText"/>
        <w:ind w:left="720" w:right="720"/>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This ‘deed’ for Burj Bird was reissued in 1844, when Tannous al-Haddad repeated his role as broker for ‘Mr. Bird “The American”’, while Butrus al-Bustani and Elias Fuaz served as witnesses.</w:t>
      </w:r>
      <w:r w:rsidRPr="00440B9F">
        <w:rPr>
          <w:rStyle w:val="FootnoteReference"/>
          <w:rFonts w:ascii="Palatino Linotype" w:hAnsi="Palatino Linotype"/>
          <w:sz w:val="22"/>
          <w:szCs w:val="22"/>
          <w:lang w:val="en-GB"/>
        </w:rPr>
        <w:footnoteReference w:id="42"/>
      </w:r>
      <w:r w:rsidRPr="00440B9F">
        <w:rPr>
          <w:rFonts w:ascii="Palatino Linotype" w:hAnsi="Palatino Linotype"/>
          <w:sz w:val="22"/>
          <w:szCs w:val="22"/>
          <w:lang w:val="en-GB"/>
        </w:rPr>
        <w:t xml:space="preserve"> By the mid-1840s, these three men were the most important Native Assistants at the station, while Burj Bird continued to be the focus of the Protestant Circle, for, by this time, it included spaces for the Mission Press, common schools, boys and later girls’ boarding schools, and a chapel.</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pict>
          <v:shape id="_x0000_i1025" type="#_x0000_t75" style="width:427.05pt;height:230.9pt">
            <v:imagedata r:id="rId11" o:title="Beirut map 2"/>
          </v:shape>
        </w:pict>
      </w:r>
      <w:r w:rsidRPr="00440B9F">
        <w:rPr>
          <w:rFonts w:ascii="Palatino Linotype" w:hAnsi="Palatino Linotype"/>
          <w:sz w:val="22"/>
          <w:szCs w:val="22"/>
          <w:lang w:val="en-GB"/>
        </w:rPr>
        <w:tab/>
        <w:t xml:space="preserve">The ‘Old Susa House’ was another important location for the Protestant Circle in Beirut, or more accurately, its suburbs. This house was located to the west of the city centre, near Ras Beirut and was owned by the wealthy Susa family, whose land is more commonly associated with the </w:t>
      </w:r>
      <w:r w:rsidRPr="00440B9F">
        <w:rPr>
          <w:rFonts w:ascii="Palatino Linotype" w:hAnsi="Palatino Linotype" w:cs="Arial"/>
          <w:bCs/>
          <w:i/>
          <w:sz w:val="22"/>
          <w:szCs w:val="22"/>
          <w:lang w:val="en-GB"/>
        </w:rPr>
        <w:t>Zoqāq el-Blā</w:t>
      </w:r>
      <w:r w:rsidRPr="00440B9F">
        <w:rPr>
          <w:rFonts w:ascii="KoufrUni" w:hAnsi="KoufrUni" w:cs="Arial"/>
          <w:i/>
          <w:sz w:val="22"/>
          <w:szCs w:val="22"/>
          <w:lang w:val="en-GB"/>
        </w:rPr>
        <w:t>ṭ</w:t>
      </w:r>
      <w:r w:rsidRPr="00440B9F">
        <w:rPr>
          <w:rFonts w:ascii="Palatino Linotype" w:hAnsi="Palatino Linotype"/>
          <w:sz w:val="22"/>
          <w:szCs w:val="22"/>
          <w:lang w:val="en-GB"/>
        </w:rPr>
        <w:t xml:space="preserve"> area.</w:t>
      </w:r>
      <w:r w:rsidRPr="00440B9F">
        <w:rPr>
          <w:rStyle w:val="FootnoteReference"/>
          <w:rFonts w:ascii="Palatino Linotype" w:hAnsi="Palatino Linotype"/>
          <w:sz w:val="22"/>
          <w:szCs w:val="22"/>
          <w:lang w:val="en-GB"/>
        </w:rPr>
        <w:footnoteReference w:id="43"/>
      </w:r>
      <w:r w:rsidRPr="00440B9F">
        <w:rPr>
          <w:rFonts w:ascii="Palatino Linotype" w:hAnsi="Palatino Linotype"/>
          <w:sz w:val="22"/>
          <w:szCs w:val="22"/>
          <w:lang w:val="en-GB"/>
        </w:rPr>
        <w:t xml:space="preserve"> The ‘Old Susa House’ was the residency for various missionary households, including the Eli-Sarah Smith family in 1835 and the Eli-Hetty Smith family in the early 1850s.</w:t>
      </w:r>
      <w:r w:rsidRPr="00440B9F">
        <w:rPr>
          <w:rStyle w:val="FootnoteReference"/>
          <w:rFonts w:ascii="Palatino Linotype" w:hAnsi="Palatino Linotype"/>
          <w:sz w:val="22"/>
          <w:szCs w:val="22"/>
          <w:lang w:val="en-GB"/>
        </w:rPr>
        <w:footnoteReference w:id="44"/>
      </w:r>
      <w:r w:rsidRPr="00440B9F">
        <w:rPr>
          <w:rFonts w:ascii="Palatino Linotype" w:hAnsi="Palatino Linotype"/>
          <w:sz w:val="22"/>
          <w:szCs w:val="22"/>
          <w:lang w:val="en-GB"/>
        </w:rPr>
        <w:t xml:space="preserve"> This was also the location of the Mission Press, before it was moved to Burj Bird.</w:t>
      </w:r>
      <w:r w:rsidRPr="00440B9F">
        <w:rPr>
          <w:rStyle w:val="FootnoteReference"/>
          <w:rFonts w:ascii="Palatino Linotype" w:hAnsi="Palatino Linotype"/>
          <w:sz w:val="22"/>
          <w:szCs w:val="22"/>
          <w:lang w:val="en-GB"/>
        </w:rPr>
        <w:footnoteReference w:id="45"/>
      </w:r>
      <w:r w:rsidRPr="00440B9F">
        <w:rPr>
          <w:rFonts w:ascii="Palatino Linotype" w:hAnsi="Palatino Linotype"/>
          <w:sz w:val="22"/>
          <w:szCs w:val="22"/>
          <w:lang w:val="en-GB"/>
        </w:rPr>
        <w:t xml:space="preserve"> While the ‘Old Susa House’ was about a mile from the Mission House,</w:t>
      </w:r>
      <w:r w:rsidRPr="00440B9F">
        <w:rPr>
          <w:rFonts w:ascii="Palatino Linotype" w:hAnsi="Palatino Linotype"/>
          <w:sz w:val="22"/>
          <w:szCs w:val="22"/>
          <w:vertAlign w:val="superscript"/>
          <w:lang w:val="en-GB"/>
        </w:rPr>
        <w:footnoteReference w:id="46"/>
      </w:r>
      <w:r w:rsidRPr="00440B9F">
        <w:rPr>
          <w:rFonts w:ascii="Palatino Linotype" w:hAnsi="Palatino Linotype"/>
          <w:sz w:val="22"/>
          <w:szCs w:val="22"/>
          <w:lang w:val="en-GB"/>
        </w:rPr>
        <w:t xml:space="preserve"> it was close to the American consulate at ‘Feteipah’s house’.</w:t>
      </w:r>
      <w:r w:rsidRPr="00440B9F">
        <w:rPr>
          <w:rStyle w:val="FootnoteReference"/>
          <w:rFonts w:ascii="Palatino Linotype" w:hAnsi="Palatino Linotype"/>
          <w:sz w:val="22"/>
          <w:szCs w:val="22"/>
          <w:lang w:val="en-GB"/>
        </w:rPr>
        <w:footnoteReference w:id="47"/>
      </w:r>
      <w:r w:rsidRPr="00440B9F">
        <w:rPr>
          <w:rFonts w:ascii="Palatino Linotype" w:hAnsi="Palatino Linotype"/>
          <w:sz w:val="22"/>
          <w:szCs w:val="22"/>
          <w:lang w:val="en-GB"/>
        </w:rPr>
        <w:t xml:space="preserve"> Like Burj Bird, the original agreement between Susa and the ABCFM missionaries is unknown, although the contract for this house continued after the death of Old Susa in 1838.</w:t>
      </w:r>
      <w:r w:rsidRPr="00440B9F">
        <w:rPr>
          <w:rStyle w:val="FootnoteReference"/>
          <w:rFonts w:ascii="Palatino Linotype" w:hAnsi="Palatino Linotype"/>
          <w:sz w:val="22"/>
          <w:szCs w:val="22"/>
          <w:lang w:val="en-GB"/>
        </w:rPr>
        <w:footnoteReference w:id="48"/>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Locating these residences is important for it grants insight onto the development of Protestantism within the changing layout of this city. The scattering of missionary homes around Beirut suggests that the ABCFM could not find space within the established city centre when they first arrived in 1823. Rather, the only available spaces were those in the still underdeveloped suburbs. This may have resulted from the shifting classification of the land outside of Beirut’s walls, as either </w:t>
      </w:r>
      <w:r w:rsidRPr="00440B9F">
        <w:rPr>
          <w:rFonts w:ascii="Palatino Linotype" w:hAnsi="Palatino Linotype"/>
          <w:i/>
          <w:sz w:val="22"/>
          <w:szCs w:val="22"/>
          <w:lang w:val="en-GB"/>
        </w:rPr>
        <w:t>milk</w:t>
      </w:r>
      <w:r w:rsidRPr="00440B9F">
        <w:rPr>
          <w:rFonts w:ascii="Palatino Linotype" w:hAnsi="Palatino Linotype"/>
          <w:sz w:val="22"/>
          <w:szCs w:val="22"/>
          <w:lang w:val="en-GB"/>
        </w:rPr>
        <w:t xml:space="preserve"> (private) or </w:t>
      </w:r>
      <w:r w:rsidRPr="00440B9F">
        <w:rPr>
          <w:rFonts w:ascii="Palatino Linotype" w:hAnsi="Palatino Linotype"/>
          <w:i/>
          <w:sz w:val="22"/>
          <w:szCs w:val="22"/>
          <w:lang w:val="en-GB"/>
        </w:rPr>
        <w:t>miri</w:t>
      </w:r>
      <w:r w:rsidRPr="00440B9F">
        <w:rPr>
          <w:rFonts w:ascii="Palatino Linotype" w:hAnsi="Palatino Linotype"/>
          <w:sz w:val="22"/>
          <w:szCs w:val="22"/>
          <w:lang w:val="en-GB"/>
        </w:rPr>
        <w:t xml:space="preserve"> (public) property. Although suburban areas outside other cities were often considered </w:t>
      </w:r>
      <w:r w:rsidRPr="00440B9F">
        <w:rPr>
          <w:rFonts w:ascii="Palatino Linotype" w:hAnsi="Palatino Linotype"/>
          <w:i/>
          <w:sz w:val="22"/>
          <w:szCs w:val="22"/>
          <w:lang w:val="en-GB"/>
        </w:rPr>
        <w:t>milk</w:t>
      </w:r>
      <w:r w:rsidRPr="00440B9F">
        <w:rPr>
          <w:rFonts w:ascii="Palatino Linotype" w:hAnsi="Palatino Linotype"/>
          <w:sz w:val="22"/>
          <w:szCs w:val="22"/>
          <w:lang w:val="en-GB"/>
        </w:rPr>
        <w:t xml:space="preserve">, agricultural land was generally regarded as </w:t>
      </w:r>
      <w:r w:rsidRPr="00440B9F">
        <w:rPr>
          <w:rFonts w:ascii="Palatino Linotype" w:hAnsi="Palatino Linotype"/>
          <w:i/>
          <w:sz w:val="22"/>
          <w:szCs w:val="22"/>
          <w:lang w:val="en-GB"/>
        </w:rPr>
        <w:t>miri</w:t>
      </w:r>
      <w:r w:rsidRPr="00440B9F">
        <w:rPr>
          <w:rFonts w:ascii="Palatino Linotype" w:hAnsi="Palatino Linotype"/>
          <w:sz w:val="22"/>
          <w:szCs w:val="22"/>
          <w:lang w:val="en-GB"/>
        </w:rPr>
        <w:t xml:space="preserve"> and its use subject to confiscation and regulation by the Porte and local officials.</w:t>
      </w:r>
      <w:r w:rsidRPr="00440B9F">
        <w:rPr>
          <w:rFonts w:ascii="Palatino Linotype" w:hAnsi="Palatino Linotype"/>
          <w:sz w:val="22"/>
          <w:szCs w:val="22"/>
          <w:vertAlign w:val="superscript"/>
          <w:lang w:val="en-GB"/>
        </w:rPr>
        <w:footnoteReference w:id="49"/>
      </w:r>
      <w:r w:rsidRPr="00440B9F">
        <w:rPr>
          <w:rFonts w:ascii="Palatino Linotype" w:hAnsi="Palatino Linotype"/>
          <w:sz w:val="22"/>
          <w:szCs w:val="22"/>
          <w:lang w:val="en-GB"/>
        </w:rPr>
        <w:t xml:space="preserve"> The latter appears to be the case of Beirut’s suburbs during the early nineteenth century, so that, until the land reforms of the 1850s and 1860s, renting to foreigners, or others with (perceived) political leverage, may have been a way for Syrian homeowners to decrease the risk of their extra mural investment in lands still considered </w:t>
      </w:r>
      <w:r w:rsidRPr="00440B9F">
        <w:rPr>
          <w:rFonts w:ascii="Palatino Linotype" w:hAnsi="Palatino Linotype"/>
          <w:i/>
          <w:sz w:val="22"/>
          <w:szCs w:val="22"/>
          <w:lang w:val="en-GB"/>
        </w:rPr>
        <w:t>miri</w:t>
      </w:r>
      <w:r w:rsidRPr="00440B9F">
        <w:rPr>
          <w:rFonts w:ascii="Palatino Linotype" w:hAnsi="Palatino Linotype"/>
          <w:sz w:val="22"/>
          <w:szCs w:val="22"/>
          <w:lang w:val="en-GB"/>
        </w:rPr>
        <w:t>.</w:t>
      </w:r>
      <w:r w:rsidRPr="00440B9F">
        <w:rPr>
          <w:rFonts w:ascii="Palatino Linotype" w:hAnsi="Palatino Linotype"/>
          <w:sz w:val="22"/>
          <w:szCs w:val="22"/>
          <w:vertAlign w:val="superscript"/>
          <w:lang w:val="en-GB"/>
        </w:rPr>
        <w:footnoteReference w:id="50"/>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Protestants often conflated the spaces within these homes to conduct domestic, religious and educational activities. Although emphasising their initial marginality in Beirut, this conflation of space nevertheless resonated with the ABCFM missionaries’ views of evangelism. In contrast to some Latin and earlier ABCFM missionaries, particularly Jonas King, who overtly challenged Syrian ecclesiastical leaders through writing polemics,</w:t>
      </w:r>
      <w:r w:rsidRPr="00440B9F">
        <w:rPr>
          <w:rStyle w:val="FootnoteReference"/>
          <w:rFonts w:ascii="Palatino Linotype" w:hAnsi="Palatino Linotype"/>
          <w:sz w:val="22"/>
          <w:szCs w:val="22"/>
          <w:lang w:val="en-GB"/>
        </w:rPr>
        <w:footnoteReference w:id="51"/>
      </w:r>
      <w:r w:rsidRPr="00440B9F">
        <w:rPr>
          <w:rFonts w:ascii="Palatino Linotype" w:hAnsi="Palatino Linotype"/>
          <w:sz w:val="22"/>
          <w:szCs w:val="22"/>
          <w:lang w:val="en-GB"/>
        </w:rPr>
        <w:t xml:space="preserve"> most ABCFM missionaries were careful not to incite ‘jealousy’ from their Syrian neighbours.</w:t>
      </w:r>
      <w:r w:rsidRPr="00440B9F">
        <w:rPr>
          <w:rFonts w:ascii="Palatino Linotype" w:hAnsi="Palatino Linotype"/>
          <w:sz w:val="22"/>
          <w:szCs w:val="22"/>
          <w:vertAlign w:val="superscript"/>
          <w:lang w:val="en-GB"/>
        </w:rPr>
        <w:footnoteReference w:id="52"/>
      </w:r>
      <w:r w:rsidRPr="00440B9F">
        <w:rPr>
          <w:rFonts w:ascii="Palatino Linotype" w:hAnsi="Palatino Linotype"/>
          <w:sz w:val="22"/>
          <w:szCs w:val="22"/>
          <w:lang w:val="en-GB"/>
        </w:rPr>
        <w:t xml:space="preserve"> Instead of building imposing church structures, the Protestants used rooms within their houses for religious worship. They were also cautious of ringing bells and promised to do so only in a manner that ‘would not interfere with [Muslim] hours of prayers, if we could help it’.</w:t>
      </w:r>
      <w:r w:rsidRPr="00440B9F">
        <w:rPr>
          <w:rFonts w:ascii="Palatino Linotype" w:hAnsi="Palatino Linotype"/>
          <w:sz w:val="22"/>
          <w:szCs w:val="22"/>
          <w:vertAlign w:val="superscript"/>
          <w:lang w:val="en-GB"/>
        </w:rPr>
        <w:footnoteReference w:id="53"/>
      </w:r>
      <w:r w:rsidRPr="00440B9F">
        <w:rPr>
          <w:rFonts w:ascii="Palatino Linotype" w:hAnsi="Palatino Linotype"/>
          <w:sz w:val="22"/>
          <w:szCs w:val="22"/>
          <w:lang w:val="en-GB"/>
        </w:rPr>
        <w:t xml:space="preserve">  It was only in 1858 that a free-standing Protestant church was built, not in Beirut, but in Alma, a small village on Mount Lebanon. This relatively small, ‘simple, unadorned structure’ replaced the ‘private house’ that was previously used for religious worship, ‘where, as the one room was appropriated in part as a stall for animals, the lowing of cattle was often mingled with the accents of devotion’.</w:t>
      </w:r>
      <w:r w:rsidRPr="00440B9F">
        <w:rPr>
          <w:rStyle w:val="FootnoteReference"/>
          <w:rFonts w:ascii="Palatino Linotype" w:hAnsi="Palatino Linotype"/>
          <w:sz w:val="22"/>
          <w:szCs w:val="22"/>
          <w:lang w:val="en-GB"/>
        </w:rPr>
        <w:footnoteReference w:id="54"/>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Another way that jealousy and persecution was avoided was through appropriating Syrian customs in the Protestants’ use of these multifunctional buildings. For example, the Protestants separated sacred space by gender, for as Gregory Wortabet recognised: </w:t>
      </w:r>
    </w:p>
    <w:p w:rsidR="007F7DD4" w:rsidRDefault="007F7DD4"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[t]his being the custom of the land for ages, the missionaries have not thought fit to trespass upon it, but have adapted themselves to the customs, and hence you will see on entering a Protestant church in this part of the country, a division by a red screen, which separates the sexes.</w:t>
      </w:r>
      <w:r w:rsidRPr="00440B9F">
        <w:rPr>
          <w:rStyle w:val="FootnoteReference"/>
          <w:rFonts w:ascii="Palatino Linotype" w:hAnsi="Palatino Linotype"/>
          <w:sz w:val="22"/>
          <w:szCs w:val="22"/>
          <w:lang w:val="en-GB"/>
        </w:rPr>
        <w:footnoteReference w:id="55"/>
      </w:r>
    </w:p>
    <w:p w:rsidR="007F7DD4" w:rsidRPr="00440B9F" w:rsidRDefault="007F7DD4" w:rsidP="001761FF">
      <w:pPr>
        <w:pStyle w:val="BodyText"/>
        <w:ind w:left="720" w:right="720"/>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Renovations to the chapel in the basement of the Mission House maintained this gendered division through replacing a dividing wall with the screen described by Wortabet, which functioned like the trellised panel found in other churches.</w:t>
      </w:r>
      <w:r w:rsidRPr="00440B9F">
        <w:rPr>
          <w:rStyle w:val="FootnoteReference"/>
          <w:rFonts w:ascii="Palatino Linotype" w:hAnsi="Palatino Linotype"/>
          <w:sz w:val="22"/>
          <w:szCs w:val="22"/>
          <w:lang w:val="en-GB"/>
        </w:rPr>
        <w:footnoteReference w:id="56"/>
      </w:r>
      <w:r w:rsidRPr="00440B9F">
        <w:rPr>
          <w:rFonts w:ascii="Palatino Linotype" w:hAnsi="Palatino Linotype"/>
          <w:sz w:val="22"/>
          <w:szCs w:val="22"/>
          <w:lang w:val="en-GB"/>
        </w:rPr>
        <w:t xml:space="preserve"> Different from some Syrian churches however, the Protestants did not relegate women to a separate, overhead gallery, for the space for Protestant women’s worship was adjacent to the area for men.</w:t>
      </w:r>
      <w:r w:rsidRPr="00440B9F">
        <w:rPr>
          <w:rStyle w:val="FootnoteReference"/>
          <w:rFonts w:ascii="Palatino Linotype" w:hAnsi="Palatino Linotype"/>
          <w:sz w:val="22"/>
          <w:szCs w:val="22"/>
          <w:lang w:val="en-GB"/>
        </w:rPr>
        <w:footnoteReference w:id="57"/>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Protestants’ suburban location also resonated with their views of health. Many Protestants’ believed that exercise and access to fresh air and water encouraged good health.</w:t>
      </w:r>
      <w:r w:rsidRPr="00440B9F">
        <w:rPr>
          <w:rStyle w:val="FootnoteReference"/>
          <w:rFonts w:ascii="Palatino Linotype" w:hAnsi="Palatino Linotype"/>
          <w:sz w:val="22"/>
          <w:szCs w:val="22"/>
          <w:lang w:val="en-GB"/>
        </w:rPr>
        <w:footnoteReference w:id="58"/>
      </w:r>
      <w:r w:rsidRPr="00440B9F">
        <w:rPr>
          <w:rFonts w:ascii="Palatino Linotype" w:hAnsi="Palatino Linotype"/>
          <w:sz w:val="22"/>
          <w:szCs w:val="22"/>
          <w:lang w:val="en-GB"/>
        </w:rPr>
        <w:t xml:space="preserve"> Morning walks in gardens, excursions upon Ras Beirut and horse rides along the seaside provided this fresh air.</w:t>
      </w:r>
      <w:r w:rsidRPr="00440B9F">
        <w:rPr>
          <w:rStyle w:val="FootnoteReference"/>
          <w:rFonts w:ascii="Palatino Linotype" w:hAnsi="Palatino Linotype"/>
          <w:sz w:val="22"/>
          <w:szCs w:val="22"/>
          <w:lang w:val="en-GB"/>
        </w:rPr>
        <w:footnoteReference w:id="59"/>
      </w:r>
      <w:r w:rsidRPr="00440B9F">
        <w:rPr>
          <w:rFonts w:ascii="Palatino Linotype" w:hAnsi="Palatino Linotype"/>
          <w:sz w:val="22"/>
          <w:szCs w:val="22"/>
          <w:lang w:val="en-GB"/>
        </w:rPr>
        <w:t xml:space="preserve"> The healthful benefits of the suburbs contrasted the ‘narrow’ and ‘dirty’ environment located in the city walls.</w:t>
      </w:r>
      <w:r w:rsidRPr="00440B9F">
        <w:rPr>
          <w:rStyle w:val="FootnoteReference"/>
          <w:rFonts w:ascii="Palatino Linotype" w:hAnsi="Palatino Linotype"/>
          <w:sz w:val="22"/>
          <w:szCs w:val="22"/>
          <w:lang w:val="en-GB"/>
        </w:rPr>
        <w:footnoteReference w:id="60"/>
      </w:r>
      <w:r w:rsidRPr="00440B9F">
        <w:rPr>
          <w:rFonts w:ascii="Palatino Linotype" w:hAnsi="Palatino Linotype"/>
          <w:sz w:val="22"/>
          <w:szCs w:val="22"/>
          <w:lang w:val="en-GB"/>
        </w:rPr>
        <w:t xml:space="preserve"> In addition, it was hoped that houses rented at high locations, like the ‘Old Susa house’, would counter the dangerous effects of the hot ‘sirocco winds’.</w:t>
      </w:r>
      <w:r w:rsidRPr="00440B9F">
        <w:rPr>
          <w:rStyle w:val="FootnoteReference"/>
          <w:rFonts w:ascii="Palatino Linotype" w:hAnsi="Palatino Linotype"/>
          <w:sz w:val="22"/>
          <w:szCs w:val="22"/>
          <w:lang w:val="en-GB"/>
        </w:rPr>
        <w:footnoteReference w:id="61"/>
      </w:r>
      <w:r w:rsidRPr="00440B9F">
        <w:rPr>
          <w:rFonts w:ascii="Palatino Linotype" w:hAnsi="Palatino Linotype"/>
          <w:sz w:val="22"/>
          <w:szCs w:val="22"/>
          <w:lang w:val="en-GB"/>
        </w:rPr>
        <w:t xml:space="preserve"> If suburban houses were not successful in this objective, seasonal removal to Mount Lebanon was also feasible from the Protestants’ homes around Beirut.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Noticeably, the areas surrounding the Protestant’s multifunctional residencies underwent significant transformation during this period and became important hubs of economic and social activity by the mid-nineteenth century. For example, the first paved street in Beirut’s suburbs, </w:t>
      </w:r>
      <w:r w:rsidRPr="00440B9F">
        <w:rPr>
          <w:rFonts w:ascii="Palatino Linotype" w:hAnsi="Palatino Linotype" w:cs="Arial"/>
          <w:bCs/>
          <w:i/>
          <w:sz w:val="22"/>
          <w:szCs w:val="22"/>
          <w:lang w:val="en-GB"/>
        </w:rPr>
        <w:t>zoqāq el-blā</w:t>
      </w:r>
      <w:r w:rsidRPr="00440B9F">
        <w:rPr>
          <w:rFonts w:ascii="KoufrUni" w:hAnsi="KoufrUni" w:cs="Arial"/>
          <w:i/>
          <w:sz w:val="22"/>
          <w:szCs w:val="22"/>
          <w:lang w:val="en-GB"/>
        </w:rPr>
        <w:t>ṭ</w:t>
      </w:r>
      <w:r w:rsidRPr="00440B9F">
        <w:rPr>
          <w:rFonts w:ascii="Palatino Linotype" w:hAnsi="Palatino Linotype"/>
          <w:sz w:val="22"/>
          <w:szCs w:val="22"/>
          <w:lang w:val="en-GB"/>
        </w:rPr>
        <w:t xml:space="preserve"> (the cobbled lane), was located near the central Mission House. This street was paved during the Egyptian occupation and illuminates the importance of this area within the changing patterns of trade and population resettlement, for paving a road eased and encouraged the movement of both goods and people.</w:t>
      </w:r>
      <w:r w:rsidRPr="00440B9F">
        <w:rPr>
          <w:rFonts w:ascii="Palatino Linotype" w:hAnsi="Palatino Linotype"/>
          <w:sz w:val="22"/>
          <w:szCs w:val="22"/>
          <w:vertAlign w:val="superscript"/>
          <w:lang w:val="en-GB"/>
        </w:rPr>
        <w:footnoteReference w:id="62"/>
      </w:r>
      <w:r w:rsidRPr="00440B9F">
        <w:rPr>
          <w:rFonts w:ascii="Palatino Linotype" w:hAnsi="Palatino Linotype"/>
          <w:sz w:val="22"/>
          <w:szCs w:val="22"/>
          <w:lang w:val="en-GB"/>
        </w:rPr>
        <w:t xml:space="preserve"> However, the location of the Protestants’ residencies distanced them from other groups that also emerged in Beirut during this period.  The Protestants’ buildings were removed from the Levantine merchants, who were concentrated near the port, as well as the Latin missionaries, who worked at their churches throughout the city. This geographic distance reinforced the social and cultural differences that marked these groups within the dynamic environment of mid-century Beirut.</w:t>
      </w:r>
      <w:r w:rsidRPr="00440B9F">
        <w:rPr>
          <w:rFonts w:ascii="Palatino Linotype" w:hAnsi="Palatino Linotype"/>
          <w:sz w:val="22"/>
          <w:szCs w:val="22"/>
          <w:vertAlign w:val="superscript"/>
          <w:lang w:val="en-GB"/>
        </w:rPr>
        <w:footnoteReference w:id="63"/>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However, the development of Beirut granted the ABCFM missionaries access to items that they perceived to be essential for their daily living and evangelical work. During the early years of the Syrian Station, the missionaries were recommended to bring with them all necessary items, for it was difficult to purchase these goods in Syria or have them shipped from the United States.</w:t>
      </w:r>
      <w:r w:rsidRPr="00440B9F">
        <w:rPr>
          <w:rFonts w:ascii="Palatino Linotype" w:hAnsi="Palatino Linotype"/>
          <w:sz w:val="22"/>
          <w:szCs w:val="22"/>
          <w:vertAlign w:val="superscript"/>
          <w:lang w:val="en-GB"/>
        </w:rPr>
        <w:footnoteReference w:id="64"/>
      </w:r>
      <w:r w:rsidRPr="00440B9F">
        <w:rPr>
          <w:rFonts w:ascii="Palatino Linotype" w:hAnsi="Palatino Linotype"/>
          <w:sz w:val="22"/>
          <w:szCs w:val="22"/>
          <w:lang w:val="en-GB"/>
        </w:rPr>
        <w:t xml:space="preserve"> Trade routes to Beirut became increasingly standardised as the century unfolded, which made it easier for the missionaries to procure goods from the United States. This allowed Hetty Smith to repeatedly ask her family to send desired objects, such as certain foods and clothing,</w:t>
      </w:r>
      <w:r w:rsidRPr="00440B9F">
        <w:rPr>
          <w:rFonts w:ascii="Palatino Linotype" w:hAnsi="Palatino Linotype"/>
          <w:sz w:val="22"/>
          <w:szCs w:val="22"/>
          <w:vertAlign w:val="superscript"/>
          <w:lang w:val="en-GB"/>
        </w:rPr>
        <w:footnoteReference w:id="65"/>
      </w:r>
      <w:r w:rsidRPr="00440B9F">
        <w:rPr>
          <w:rFonts w:ascii="Palatino Linotype" w:hAnsi="Palatino Linotype"/>
          <w:sz w:val="22"/>
          <w:szCs w:val="22"/>
          <w:lang w:val="en-GB"/>
        </w:rPr>
        <w:t xml:space="preserve"> while other missionaries placed orders for scientific apparatus from American catalogues.</w:t>
      </w:r>
      <w:r w:rsidRPr="00440B9F">
        <w:rPr>
          <w:rFonts w:ascii="Palatino Linotype" w:hAnsi="Palatino Linotype"/>
          <w:sz w:val="22"/>
          <w:szCs w:val="22"/>
          <w:vertAlign w:val="superscript"/>
          <w:lang w:val="en-GB"/>
        </w:rPr>
        <w:footnoteReference w:id="66"/>
      </w:r>
      <w:r w:rsidRPr="00440B9F">
        <w:rPr>
          <w:rFonts w:ascii="Palatino Linotype" w:hAnsi="Palatino Linotype"/>
          <w:sz w:val="22"/>
          <w:szCs w:val="22"/>
          <w:lang w:val="en-GB"/>
        </w:rPr>
        <w:t xml:space="preserve"> As a result, a specific, but hybrid culture developed amongst the Protestants, which reflected their emergence within this dynamic port city.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pStyle w:val="BodyText"/>
        <w:spacing w:line="360" w:lineRule="auto"/>
        <w:jc w:val="center"/>
        <w:rPr>
          <w:rFonts w:ascii="Arial" w:hAnsi="Arial" w:cs="Arial"/>
          <w:smallCaps/>
          <w:sz w:val="22"/>
          <w:szCs w:val="22"/>
          <w:lang w:val="en-GB"/>
        </w:rPr>
      </w:pPr>
      <w:r w:rsidRPr="00440B9F">
        <w:rPr>
          <w:rFonts w:ascii="Arial" w:hAnsi="Arial" w:cs="Arial"/>
          <w:smallCaps/>
          <w:sz w:val="22"/>
          <w:szCs w:val="22"/>
          <w:lang w:val="en-GB"/>
        </w:rPr>
        <w:t>Protestant Capital</w:t>
      </w:r>
    </w:p>
    <w:p w:rsidR="007F7DD4" w:rsidRPr="00440B9F" w:rsidRDefault="007F7DD4" w:rsidP="001761FF">
      <w:pPr>
        <w:pStyle w:val="BodyText"/>
        <w:spacing w:line="360" w:lineRule="auto"/>
        <w:jc w:val="both"/>
        <w:rPr>
          <w:rFonts w:ascii="Arial" w:hAnsi="Arial" w:cs="Arial"/>
          <w:i/>
          <w:smallCaps/>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 circular distribution of members within the Protestant Circle, which was described in the first section of this chapter, was based up personal acquisition and performance of Protestant capital. During the period of 1823 to 1860, the normative terms for Protestantism were defined by the male ABCFM missionaries, which reflected and reinforced their central position within the community. This section analyses how these normative terms were defined through dividing Protestantism into three forms of capital: social, cultural and religious capital. Although some attributes overlapped, maintaining these divisions is important for it reveals the ways that the male missionaries sought to control and regulate how Protestantism developed as well as the alternatives and subversions that also emerged, which will be discussed in the final section of this chapter. These challenges were often reactions to the racial and gendered inequalities that were inherent to the male missionaries’ definition of Protestantism, so that this analysis will also consider the racial dimensions of normative Protestantism, with the gendering of the Circle discussed in chapters four and five.</w:t>
      </w: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widowControl/>
        <w:tabs>
          <w:tab w:val="left" w:pos="709"/>
          <w:tab w:val="left" w:pos="5760"/>
        </w:tabs>
        <w:suppressAutoHyphens w:val="0"/>
        <w:spacing w:line="360" w:lineRule="auto"/>
        <w:jc w:val="center"/>
        <w:rPr>
          <w:rFonts w:ascii="Arial" w:hAnsi="Arial" w:cs="Arial"/>
          <w:i/>
          <w:smallCaps/>
          <w:sz w:val="22"/>
          <w:szCs w:val="22"/>
          <w:lang w:val="en-GB"/>
        </w:rPr>
      </w:pPr>
      <w:r w:rsidRPr="00440B9F">
        <w:rPr>
          <w:rFonts w:ascii="Arial" w:hAnsi="Arial" w:cs="Arial"/>
          <w:i/>
          <w:smallCaps/>
          <w:sz w:val="22"/>
          <w:szCs w:val="22"/>
          <w:lang w:val="en-GB"/>
        </w:rPr>
        <w:t>Social Capital</w:t>
      </w:r>
    </w:p>
    <w:p w:rsidR="007F7DD4" w:rsidRPr="00440B9F" w:rsidRDefault="007F7DD4" w:rsidP="001761FF">
      <w:pPr>
        <w:widowControl/>
        <w:tabs>
          <w:tab w:val="left" w:pos="709"/>
          <w:tab w:val="left" w:pos="5760"/>
        </w:tabs>
        <w:suppressAutoHyphens w:val="0"/>
        <w:spacing w:line="360" w:lineRule="auto"/>
        <w:jc w:val="center"/>
        <w:rPr>
          <w:rFonts w:ascii="Arial" w:hAnsi="Arial" w:cs="Arial"/>
          <w:i/>
          <w:smallCaps/>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Social capital is defined as an ‘investment in social relationships with expected returns in the market place.’</w:t>
      </w:r>
      <w:r w:rsidRPr="00440B9F">
        <w:rPr>
          <w:rStyle w:val="FootnoteReference"/>
          <w:rFonts w:ascii="Palatino Linotype" w:hAnsi="Palatino Linotype"/>
          <w:sz w:val="22"/>
          <w:szCs w:val="22"/>
          <w:lang w:val="en-GB"/>
        </w:rPr>
        <w:footnoteReference w:id="67"/>
      </w:r>
      <w:r w:rsidRPr="00440B9F">
        <w:rPr>
          <w:rFonts w:ascii="Palatino Linotype" w:hAnsi="Palatino Linotype"/>
          <w:sz w:val="22"/>
          <w:szCs w:val="22"/>
          <w:lang w:val="en-GB"/>
        </w:rPr>
        <w:t xml:space="preserve"> Social capital for the Protestant Circle in Ottoman Syria modifies this definition slightly, for it pertains to individual investment in the relationships that formed and reinforced the Protestant community. This section investigates the different channels through which Protestants interacted with each other, in order to create this new social-religious identity and delineate the boundaries of the community. These avenues included letter writing, conducting visitations and attending Protestant ceremonies, such as religious worship, school examinations and other celebrations.</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exchange of letters was an important medium through which members of the Protestant Circle constructed and strengthened their community. The use of letters to convey information was not a new concept introduced by the ABCFM missionaries to Ottoman Syria.</w:t>
      </w:r>
      <w:r w:rsidRPr="00440B9F">
        <w:rPr>
          <w:rStyle w:val="FootnoteReference"/>
          <w:rFonts w:ascii="Palatino Linotype" w:hAnsi="Palatino Linotype"/>
          <w:sz w:val="22"/>
          <w:szCs w:val="22"/>
          <w:lang w:val="en-GB"/>
        </w:rPr>
        <w:footnoteReference w:id="68"/>
      </w:r>
      <w:r w:rsidRPr="00440B9F">
        <w:rPr>
          <w:rFonts w:ascii="Palatino Linotype" w:hAnsi="Palatino Linotype"/>
          <w:sz w:val="22"/>
          <w:szCs w:val="22"/>
          <w:lang w:val="en-GB"/>
        </w:rPr>
        <w:t xml:space="preserve"> Rather, the novelty of the Protestants’ letter writing resided in their wide-spread use of letters, for written correspondences were exchanged by most members of the Circle, not just its elite members. This also highlights the importance of literacy to this group, which will be examined below.</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Written correspondences linked Protestants to those who resided at different locations within Syria, those on pilgrimage and members of different households within a city.</w:t>
      </w:r>
      <w:r w:rsidRPr="00440B9F">
        <w:rPr>
          <w:rStyle w:val="FootnoteReference"/>
          <w:rFonts w:ascii="Palatino Linotype" w:hAnsi="Palatino Linotype"/>
          <w:sz w:val="22"/>
          <w:szCs w:val="22"/>
          <w:lang w:val="en-GB"/>
        </w:rPr>
        <w:footnoteReference w:id="69"/>
      </w:r>
      <w:r w:rsidRPr="00440B9F">
        <w:rPr>
          <w:rFonts w:ascii="Palatino Linotype" w:hAnsi="Palatino Linotype"/>
          <w:sz w:val="22"/>
          <w:szCs w:val="22"/>
          <w:lang w:val="en-GB"/>
        </w:rPr>
        <w:t xml:space="preserve"> The ABCFM missionaries and many Syrian Protestants used letters to register complaints with the American and British consuls in Syria as well as Ottoman officials, particularly when the Protestants felt that their political or religious freedoms were under threat.</w:t>
      </w:r>
      <w:r w:rsidRPr="00440B9F">
        <w:rPr>
          <w:rFonts w:ascii="Palatino Linotype" w:hAnsi="Palatino Linotype"/>
          <w:sz w:val="22"/>
          <w:szCs w:val="22"/>
          <w:vertAlign w:val="superscript"/>
          <w:lang w:val="en-GB"/>
        </w:rPr>
        <w:footnoteReference w:id="70"/>
      </w:r>
      <w:r w:rsidRPr="00440B9F">
        <w:rPr>
          <w:rFonts w:ascii="Palatino Linotype" w:hAnsi="Palatino Linotype"/>
          <w:sz w:val="22"/>
          <w:szCs w:val="22"/>
          <w:lang w:val="en-GB"/>
        </w:rPr>
        <w:t xml:space="preserve"> During the 1840s and 1850s, European, Ottoman and American postal services expanded in the region, which eased the exchange of written communication between the Protestants in Syria and their colleagues in Europe and America.</w:t>
      </w:r>
      <w:r w:rsidRPr="00440B9F">
        <w:rPr>
          <w:rStyle w:val="FootnoteReference"/>
          <w:rFonts w:ascii="Palatino Linotype" w:hAnsi="Palatino Linotype"/>
          <w:sz w:val="22"/>
          <w:szCs w:val="22"/>
          <w:lang w:val="en-GB"/>
        </w:rPr>
        <w:footnoteReference w:id="71"/>
      </w:r>
      <w:r w:rsidRPr="00440B9F">
        <w:rPr>
          <w:rFonts w:ascii="Palatino Linotype" w:hAnsi="Palatino Linotype"/>
          <w:sz w:val="22"/>
          <w:szCs w:val="22"/>
          <w:lang w:val="en-GB"/>
        </w:rPr>
        <w:t xml:space="preserve"> For example, letters from the missionaries to the Prudential Committee in Boston were increasingly sent on a more regular and frequent basis, which allowed the ABCFM to better monitor the work of its missionaries and the development of the Protestant community.</w:t>
      </w:r>
      <w:r w:rsidRPr="00440B9F">
        <w:rPr>
          <w:rStyle w:val="FootnoteReference"/>
          <w:rFonts w:ascii="Palatino Linotype" w:hAnsi="Palatino Linotype"/>
          <w:sz w:val="22"/>
          <w:szCs w:val="22"/>
          <w:lang w:val="en-GB"/>
        </w:rPr>
        <w:footnoteReference w:id="72"/>
      </w:r>
      <w:r w:rsidRPr="00440B9F">
        <w:rPr>
          <w:rFonts w:ascii="Palatino Linotype" w:hAnsi="Palatino Linotype"/>
          <w:sz w:val="22"/>
          <w:szCs w:val="22"/>
          <w:lang w:val="en-GB"/>
        </w:rPr>
        <w:t xml:space="preserve"> The ABCFM missionaries also maintained regular correspondences with family and friends in the United States in order to alleviate homesickness, place orders for American goods, ascertain information (and gossip) on events in the United States, and secure guardianship of returned missionary children.</w:t>
      </w:r>
      <w:r w:rsidRPr="00440B9F">
        <w:rPr>
          <w:rStyle w:val="FootnoteReference"/>
          <w:rFonts w:ascii="Palatino Linotype" w:hAnsi="Palatino Linotype"/>
          <w:sz w:val="22"/>
          <w:szCs w:val="22"/>
          <w:lang w:val="en-GB"/>
        </w:rPr>
        <w:footnoteReference w:id="73"/>
      </w:r>
      <w:r w:rsidRPr="00440B9F">
        <w:rPr>
          <w:rFonts w:ascii="Palatino Linotype" w:hAnsi="Palatino Linotype"/>
          <w:sz w:val="22"/>
          <w:szCs w:val="22"/>
          <w:lang w:val="en-GB"/>
        </w:rPr>
        <w:t xml:space="preserve"> It was through letters that greetings and ‘salaams’ were sent from friends in Syria to missionaries on furlough or those returned to the United States.</w:t>
      </w:r>
      <w:r w:rsidRPr="00440B9F">
        <w:rPr>
          <w:rStyle w:val="FootnoteReference"/>
          <w:rFonts w:ascii="Palatino Linotype" w:hAnsi="Palatino Linotype"/>
          <w:sz w:val="22"/>
          <w:szCs w:val="22"/>
          <w:lang w:val="en-GB"/>
        </w:rPr>
        <w:footnoteReference w:id="74"/>
      </w:r>
      <w:r w:rsidRPr="00440B9F">
        <w:rPr>
          <w:rFonts w:ascii="Palatino Linotype" w:hAnsi="Palatino Linotype"/>
          <w:sz w:val="22"/>
          <w:szCs w:val="22"/>
          <w:lang w:val="en-GB"/>
        </w:rPr>
        <w:t xml:space="preserve"> The ABCFM missionaries also wrote to churches and other organisations in the United States, asking for prayers and financial assistance to support specific projects, and encourage others to pursue missionary careers.</w:t>
      </w:r>
      <w:r w:rsidRPr="00440B9F">
        <w:rPr>
          <w:rStyle w:val="FootnoteReference"/>
          <w:rFonts w:ascii="Palatino Linotype" w:hAnsi="Palatino Linotype"/>
          <w:sz w:val="22"/>
          <w:szCs w:val="22"/>
          <w:lang w:val="en-GB"/>
        </w:rPr>
        <w:footnoteReference w:id="75"/>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Visitations were other channels through which the Protestant Circle was created and strengthened.</w:t>
      </w:r>
      <w:r w:rsidRPr="00440B9F">
        <w:rPr>
          <w:rStyle w:val="FootnoteReference"/>
          <w:rFonts w:ascii="Palatino Linotype" w:hAnsi="Palatino Linotype"/>
          <w:sz w:val="22"/>
          <w:szCs w:val="22"/>
          <w:lang w:val="en-GB"/>
        </w:rPr>
        <w:footnoteReference w:id="76"/>
      </w:r>
      <w:r w:rsidRPr="00440B9F">
        <w:rPr>
          <w:rFonts w:ascii="Palatino Linotype" w:hAnsi="Palatino Linotype"/>
          <w:sz w:val="22"/>
          <w:szCs w:val="22"/>
          <w:lang w:val="en-GB"/>
        </w:rPr>
        <w:t xml:space="preserve"> Daytime and evening visitations were customs already practiced in Syria, when information was exchanged and friendships forged.</w:t>
      </w:r>
      <w:r w:rsidRPr="00440B9F">
        <w:rPr>
          <w:rFonts w:ascii="Palatino Linotype" w:hAnsi="Palatino Linotype"/>
          <w:sz w:val="22"/>
          <w:szCs w:val="22"/>
          <w:vertAlign w:val="superscript"/>
          <w:lang w:val="en-GB"/>
        </w:rPr>
        <w:footnoteReference w:id="77"/>
      </w:r>
      <w:r w:rsidRPr="00440B9F">
        <w:rPr>
          <w:rFonts w:ascii="Palatino Linotype" w:hAnsi="Palatino Linotype"/>
          <w:sz w:val="22"/>
          <w:szCs w:val="22"/>
          <w:lang w:val="en-GB"/>
        </w:rPr>
        <w:t xml:space="preserve"> The Protestants, particularly the ABCFM missionaries, used such occasions for evangelical purposes and discuss religious doctrines.</w:t>
      </w:r>
      <w:r w:rsidRPr="00440B9F">
        <w:rPr>
          <w:rFonts w:ascii="Palatino Linotype" w:hAnsi="Palatino Linotype"/>
          <w:sz w:val="22"/>
          <w:szCs w:val="22"/>
          <w:vertAlign w:val="superscript"/>
          <w:lang w:val="en-GB"/>
        </w:rPr>
        <w:footnoteReference w:id="78"/>
      </w:r>
      <w:r w:rsidRPr="00440B9F">
        <w:rPr>
          <w:rFonts w:ascii="Palatino Linotype" w:hAnsi="Palatino Linotype"/>
          <w:sz w:val="22"/>
          <w:szCs w:val="22"/>
          <w:lang w:val="en-GB"/>
        </w:rPr>
        <w:t xml:space="preserve"> Both missionaries and Syrians visited the residences of colleagues and family members during their travels around the region. This often occurred without prior notice, which prompted a quick reshuffling of daily activities and sleeping arrangements, but was important in maintaining or renewing amiable and familial bonds.</w:t>
      </w:r>
      <w:r w:rsidRPr="00440B9F">
        <w:rPr>
          <w:rStyle w:val="FootnoteReference"/>
          <w:rFonts w:ascii="Palatino Linotype" w:hAnsi="Palatino Linotype"/>
          <w:sz w:val="22"/>
          <w:szCs w:val="22"/>
          <w:lang w:val="en-GB"/>
        </w:rPr>
        <w:footnoteReference w:id="79"/>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Special ceremonies were important events in which individuals interacted and asserted their connection to the Protestant Circle. These included public examinations, which were held at the end of school terms. Attendance at such events brought to light those who supported the Protestants’ definition of culture by sending their children to receive a Protestant education.</w:t>
      </w:r>
      <w:r w:rsidRPr="00440B9F">
        <w:rPr>
          <w:rFonts w:ascii="Palatino Linotype" w:hAnsi="Palatino Linotype"/>
          <w:sz w:val="22"/>
          <w:szCs w:val="22"/>
          <w:vertAlign w:val="superscript"/>
          <w:lang w:val="en-GB"/>
        </w:rPr>
        <w:footnoteReference w:id="80"/>
      </w:r>
      <w:r w:rsidRPr="00440B9F">
        <w:rPr>
          <w:rFonts w:ascii="Palatino Linotype" w:hAnsi="Palatino Linotype"/>
          <w:sz w:val="22"/>
          <w:szCs w:val="22"/>
          <w:lang w:val="en-GB"/>
        </w:rPr>
        <w:t xml:space="preserve"> By the late 1850s, public examinations became ‘semi-annual’ events that were attended by ‘one hundred and fifty spectators, among them the Turkish governor’.</w:t>
      </w:r>
      <w:r w:rsidRPr="00440B9F">
        <w:rPr>
          <w:rFonts w:ascii="Palatino Linotype" w:hAnsi="Palatino Linotype"/>
          <w:sz w:val="22"/>
          <w:szCs w:val="22"/>
          <w:vertAlign w:val="superscript"/>
          <w:lang w:val="en-GB"/>
        </w:rPr>
        <w:footnoteReference w:id="81"/>
      </w:r>
      <w:r w:rsidRPr="00440B9F">
        <w:rPr>
          <w:rFonts w:ascii="Palatino Linotype" w:hAnsi="Palatino Linotype"/>
          <w:sz w:val="22"/>
          <w:szCs w:val="22"/>
          <w:lang w:val="en-GB"/>
        </w:rPr>
        <w:t xml:space="preserve"> This rise in popularity did not reflect an elevation in conversion rates, but rather, the increased acceptance of the Protestants’ educational activities amongst Syrians.</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More frequently, Protestants were brought together through the celebration of religious worship.</w:t>
      </w:r>
      <w:r w:rsidRPr="00440B9F">
        <w:rPr>
          <w:rStyle w:val="FootnoteReference"/>
          <w:rFonts w:ascii="Palatino Linotype" w:hAnsi="Palatino Linotype"/>
          <w:sz w:val="22"/>
          <w:szCs w:val="22"/>
          <w:lang w:val="en-GB"/>
        </w:rPr>
        <w:footnoteReference w:id="82"/>
      </w:r>
      <w:r w:rsidRPr="00440B9F">
        <w:rPr>
          <w:rFonts w:ascii="Palatino Linotype" w:hAnsi="Palatino Linotype"/>
          <w:sz w:val="22"/>
          <w:szCs w:val="22"/>
          <w:lang w:val="en-GB"/>
        </w:rPr>
        <w:t xml:space="preserve"> Due to the limited availability of space, these services were conducted within Protestant homes until the late 1850s. For example, Sabbath services in Beirut were held at the British, and later at the American consul’s house for English speaking Protestants, while Arabic speakers worshipped at Tannous al-Haddad’s home or at the chapel in the Mission House.</w:t>
      </w:r>
      <w:r w:rsidRPr="00440B9F">
        <w:rPr>
          <w:rStyle w:val="FootnoteReference"/>
          <w:rFonts w:ascii="Palatino Linotype" w:hAnsi="Palatino Linotype"/>
          <w:sz w:val="22"/>
          <w:szCs w:val="22"/>
          <w:lang w:val="en-GB"/>
        </w:rPr>
        <w:footnoteReference w:id="83"/>
      </w:r>
      <w:r w:rsidRPr="00440B9F">
        <w:rPr>
          <w:rFonts w:ascii="Palatino Linotype" w:hAnsi="Palatino Linotype"/>
          <w:sz w:val="22"/>
          <w:szCs w:val="22"/>
          <w:lang w:val="en-GB"/>
        </w:rPr>
        <w:t xml:space="preserve"> Daily prayer and evening convocations were also organised at various locations around the city.</w:t>
      </w:r>
      <w:r w:rsidRPr="00440B9F">
        <w:rPr>
          <w:rFonts w:ascii="Palatino Linotype" w:hAnsi="Palatino Linotype"/>
          <w:sz w:val="22"/>
          <w:szCs w:val="22"/>
          <w:vertAlign w:val="superscript"/>
          <w:lang w:val="en-GB"/>
        </w:rPr>
        <w:footnoteReference w:id="84"/>
      </w:r>
      <w:r w:rsidRPr="00440B9F">
        <w:rPr>
          <w:rFonts w:ascii="Palatino Linotype" w:hAnsi="Palatino Linotype"/>
          <w:sz w:val="22"/>
          <w:szCs w:val="22"/>
          <w:lang w:val="en-GB"/>
        </w:rPr>
        <w:t xml:space="preserve"> As these homes were not easily recognised ecclesiastical structures, individuals had to gain previous knowledge of the houses’ dual function, as well as the time and language of the worship, in order to participate. While hosting such events revealed the ‘homeowner’s’ commitment to the Protestant Circle, entering and exiting from these church-houses also allowed neighbours to see which individuals interacted with the Protestants and participated in these services.</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r>
      <w:r w:rsidRPr="00440B9F">
        <w:rPr>
          <w:rFonts w:ascii="Palatino Linotype" w:hAnsi="Palatino Linotype"/>
          <w:color w:val="000000" w:themeColor="text1"/>
          <w:sz w:val="22"/>
          <w:szCs w:val="22"/>
          <w:lang w:val="en-GB"/>
        </w:rPr>
        <w:t>Baptisms were particularly important occasions where</w:t>
      </w:r>
      <w:r w:rsidRPr="00440B9F">
        <w:rPr>
          <w:rFonts w:ascii="Palatino Linotype" w:hAnsi="Palatino Linotype"/>
          <w:sz w:val="22"/>
          <w:szCs w:val="22"/>
          <w:lang w:val="en-GB"/>
        </w:rPr>
        <w:t xml:space="preserve"> individuals displayed their commitment to this new social and religious community. All churches in Syria recorded baptisms, marriages, deaths and burials in order to verify the numbers and activities of their congregants.</w:t>
      </w:r>
      <w:r w:rsidRPr="00440B9F">
        <w:rPr>
          <w:rStyle w:val="FootnoteReference"/>
          <w:rFonts w:ascii="Palatino Linotype" w:hAnsi="Palatino Linotype"/>
          <w:sz w:val="22"/>
          <w:szCs w:val="22"/>
          <w:lang w:val="en-GB"/>
        </w:rPr>
        <w:footnoteReference w:id="85"/>
      </w:r>
      <w:r w:rsidRPr="00440B9F">
        <w:rPr>
          <w:rFonts w:ascii="Palatino Linotype" w:hAnsi="Palatino Linotype"/>
          <w:sz w:val="22"/>
          <w:szCs w:val="22"/>
          <w:lang w:val="en-GB"/>
        </w:rPr>
        <w:t xml:space="preserve"> Documenting a baptism indicated that a ‘child ha[d] been admitted within the pale of the Church, and in the case of any untoward event, would be entitled to Christian burial.’</w:t>
      </w:r>
      <w:r w:rsidRPr="00440B9F">
        <w:rPr>
          <w:rStyle w:val="FootnoteReference"/>
          <w:rFonts w:ascii="Palatino Linotype" w:hAnsi="Palatino Linotype"/>
          <w:sz w:val="22"/>
          <w:szCs w:val="22"/>
          <w:lang w:val="en-GB"/>
        </w:rPr>
        <w:footnoteReference w:id="86"/>
      </w:r>
      <w:r w:rsidRPr="00440B9F">
        <w:rPr>
          <w:rFonts w:ascii="Palatino Linotype" w:hAnsi="Palatino Linotype"/>
          <w:sz w:val="22"/>
          <w:szCs w:val="22"/>
          <w:lang w:val="en-GB"/>
        </w:rPr>
        <w:t xml:space="preserve"> Baptising a child into a specific church marked the child as a member of that Christian community, which affected the political protection and social support given to the child (and possibly his/her parents). This was particularly important as Christian communities in Syria became increasingly distinct from each other during the eighteenth and nineteenth centuries.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Baptising a child into the Mission Church or the ECB was also an important event for the parents to affirm their commitment to the Protestant Circle.</w:t>
      </w:r>
      <w:r w:rsidRPr="00440B9F">
        <w:rPr>
          <w:rFonts w:ascii="Palatino Linotype" w:hAnsi="Palatino Linotype"/>
          <w:sz w:val="22"/>
          <w:szCs w:val="22"/>
          <w:vertAlign w:val="superscript"/>
          <w:lang w:val="en-GB"/>
        </w:rPr>
        <w:footnoteReference w:id="87"/>
      </w:r>
      <w:r w:rsidRPr="00440B9F">
        <w:rPr>
          <w:rFonts w:ascii="Palatino Linotype" w:hAnsi="Palatino Linotype"/>
          <w:sz w:val="22"/>
          <w:szCs w:val="22"/>
          <w:shd w:val="clear" w:color="auto" w:fill="FFFFFF"/>
          <w:lang w:val="en-GB"/>
        </w:rPr>
        <w:t xml:space="preserve"> Protestant baptismal ceremonies were often conducted when a large congregation could be gathered to both witness the event and hear the Protestants’ message.</w:t>
      </w:r>
      <w:r w:rsidRPr="00440B9F">
        <w:rPr>
          <w:rFonts w:ascii="Palatino Linotype" w:hAnsi="Palatino Linotype"/>
          <w:sz w:val="22"/>
          <w:szCs w:val="22"/>
          <w:shd w:val="clear" w:color="auto" w:fill="FFFFFF"/>
          <w:vertAlign w:val="superscript"/>
          <w:lang w:val="en-GB"/>
        </w:rPr>
        <w:footnoteReference w:id="88"/>
      </w:r>
      <w:r w:rsidRPr="00440B9F">
        <w:rPr>
          <w:rFonts w:ascii="Palatino Linotype" w:hAnsi="Palatino Linotype"/>
          <w:sz w:val="22"/>
          <w:szCs w:val="22"/>
          <w:shd w:val="clear" w:color="auto" w:fill="FFFFFF"/>
          <w:lang w:val="en-GB"/>
        </w:rPr>
        <w:t xml:space="preserve"> For example, nearly a hundred ‘sympathizing friends chiefly natives’ witnessed the baptism of Charlie Smith, which was held in conjunction with his mother’s funeral. At this ceremony, Eli Smith pledged to raise his now motherless child in the Protestant community with the help of other Protestants.</w:t>
      </w:r>
      <w:r w:rsidRPr="00440B9F">
        <w:rPr>
          <w:rFonts w:ascii="Palatino Linotype" w:hAnsi="Palatino Linotype"/>
          <w:sz w:val="22"/>
          <w:szCs w:val="22"/>
          <w:shd w:val="clear" w:color="auto" w:fill="FFFFFF"/>
          <w:vertAlign w:val="superscript"/>
          <w:lang w:val="en-GB"/>
        </w:rPr>
        <w:footnoteReference w:id="89"/>
      </w:r>
      <w:r w:rsidRPr="00440B9F">
        <w:rPr>
          <w:rFonts w:ascii="Palatino Linotype" w:hAnsi="Palatino Linotype"/>
          <w:sz w:val="22"/>
          <w:szCs w:val="22"/>
          <w:shd w:val="clear" w:color="auto" w:fill="FFFFFF"/>
          <w:lang w:val="en-GB"/>
        </w:rPr>
        <w:t xml:space="preserve"> Likewise, Dionysius Carabet reinforced his conversion through baptising one of his children on Christmas day in 1826, while the baptism of Protestants in Alma was celebrated as part of the inauguration ceremonies for their church building in 1858.</w:t>
      </w:r>
      <w:r w:rsidRPr="00440B9F">
        <w:rPr>
          <w:rFonts w:ascii="Palatino Linotype" w:hAnsi="Palatino Linotype"/>
          <w:sz w:val="22"/>
          <w:szCs w:val="22"/>
          <w:shd w:val="clear" w:color="auto" w:fill="FFFFFF"/>
          <w:vertAlign w:val="superscript"/>
          <w:lang w:val="en-GB"/>
        </w:rPr>
        <w:footnoteReference w:id="90"/>
      </w:r>
      <w:r w:rsidRPr="00440B9F">
        <w:rPr>
          <w:rFonts w:ascii="Palatino Linotype" w:hAnsi="Palatino Linotype"/>
          <w:sz w:val="22"/>
          <w:szCs w:val="22"/>
          <w:shd w:val="clear" w:color="auto" w:fill="FFFFFF"/>
          <w:lang w:val="en-GB"/>
        </w:rPr>
        <w:t xml:space="preserve"> These were all important ceremonies where the parents displayed their own Protestant commitment through promising to raise the child within the Protestant Church.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 The name chosen to christen a child emphasised the parent’s commitment to the Protestant Circle.</w:t>
      </w:r>
      <w:r w:rsidRPr="00440B9F">
        <w:rPr>
          <w:rStyle w:val="FootnoteReference"/>
          <w:rFonts w:ascii="Palatino Linotype" w:hAnsi="Palatino Linotype"/>
          <w:sz w:val="22"/>
          <w:szCs w:val="22"/>
          <w:lang w:val="en-GB"/>
        </w:rPr>
        <w:footnoteReference w:id="91"/>
      </w:r>
      <w:r w:rsidRPr="00440B9F">
        <w:rPr>
          <w:rFonts w:ascii="Palatino Linotype" w:hAnsi="Palatino Linotype"/>
          <w:sz w:val="22"/>
          <w:szCs w:val="22"/>
          <w:lang w:val="en-GB"/>
        </w:rPr>
        <w:t xml:space="preserve"> Tannous and Im Beshera al-Haddad as well as Rahil and Butrus al-Bustani named their daughters after the missionary Sarah Smith. In a similar manner, Catherine and Henry DeForest inspired Lulu and Michael Araman to name their children Katie and Henry. Thus, baptisms were publicly attended ceremonies where the parents exhibited their own affiliations to the Protestant Circle and when the entire community prayed that the christened child would grow to share this commitment.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shd w:val="clear" w:color="auto" w:fill="FFFFFF"/>
          <w:lang w:val="en-GB"/>
        </w:rPr>
        <w:tab/>
      </w:r>
      <w:r w:rsidRPr="00440B9F">
        <w:rPr>
          <w:rFonts w:ascii="Palatino Linotype" w:hAnsi="Palatino Linotype"/>
          <w:sz w:val="22"/>
          <w:szCs w:val="22"/>
          <w:lang w:val="en-GB"/>
        </w:rPr>
        <w:t>Weddings were other celebrations that reinforced the Protestant Circle. Most of the ABCFM missionaries married other Americans either before their original departure or during furlough in the United States. Appendix I shows that some missionaries were also united on the mission field, such as Storey Hebard and Rebecca Williams and Edward Aiken and Sarah Cheney.</w:t>
      </w:r>
      <w:r w:rsidRPr="00440B9F">
        <w:rPr>
          <w:rStyle w:val="FootnoteReference"/>
          <w:rFonts w:ascii="Palatino Linotype" w:hAnsi="Palatino Linotype"/>
          <w:sz w:val="22"/>
          <w:szCs w:val="22"/>
          <w:lang w:val="en-GB"/>
        </w:rPr>
        <w:footnoteReference w:id="92"/>
      </w:r>
      <w:r w:rsidRPr="00440B9F">
        <w:rPr>
          <w:rFonts w:ascii="Palatino Linotype" w:hAnsi="Palatino Linotype"/>
          <w:sz w:val="22"/>
          <w:szCs w:val="22"/>
          <w:lang w:val="en-GB"/>
        </w:rPr>
        <w:t xml:space="preserve"> Regardless of where missionary weddings were celebrated, these marriages united individuals who felt independently called to mission work and resulted in the missionaries’ physical separation from their biological families in the United States. The bonds that formed within the Protestant Circle can thus be regarded as replacements to this loss of biological-familial support.</w:t>
      </w:r>
      <w:r w:rsidRPr="00440B9F">
        <w:rPr>
          <w:rFonts w:ascii="Palatino Linotype" w:hAnsi="Palatino Linotype"/>
          <w:sz w:val="22"/>
          <w:szCs w:val="22"/>
          <w:vertAlign w:val="superscript"/>
          <w:lang w:val="en-GB"/>
        </w:rPr>
        <w:footnoteReference w:id="93"/>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Most Syrian Protestants married other Syrians who were members of the Protestant Circle. These marriages marked the persons’ rejection of previous familial and religious commitments, but reinforced the links within the Protestant Circle.</w:t>
      </w:r>
      <w:r w:rsidRPr="00440B9F">
        <w:rPr>
          <w:rStyle w:val="FootnoteReference"/>
          <w:rFonts w:ascii="Palatino Linotype" w:hAnsi="Palatino Linotype"/>
          <w:sz w:val="22"/>
          <w:szCs w:val="22"/>
          <w:lang w:val="en-GB"/>
        </w:rPr>
        <w:footnoteReference w:id="94"/>
      </w:r>
      <w:r w:rsidRPr="00440B9F">
        <w:rPr>
          <w:rFonts w:ascii="Palatino Linotype" w:hAnsi="Palatino Linotype"/>
          <w:sz w:val="22"/>
          <w:szCs w:val="22"/>
          <w:lang w:val="en-GB"/>
        </w:rPr>
        <w:t xml:space="preserve"> For example, Rahil Ata refused a marriage proposal arranged by her family, which resulted in her severing ties with her biological family.</w:t>
      </w:r>
      <w:r w:rsidRPr="00440B9F">
        <w:rPr>
          <w:rStyle w:val="FootnoteReference"/>
          <w:rFonts w:ascii="Palatino Linotype" w:hAnsi="Palatino Linotype"/>
          <w:sz w:val="22"/>
          <w:szCs w:val="22"/>
          <w:lang w:val="en-GB"/>
        </w:rPr>
        <w:footnoteReference w:id="95"/>
      </w:r>
      <w:r w:rsidRPr="00440B9F">
        <w:rPr>
          <w:rFonts w:ascii="Palatino Linotype" w:hAnsi="Palatino Linotype"/>
          <w:sz w:val="22"/>
          <w:szCs w:val="22"/>
          <w:lang w:val="en-GB"/>
        </w:rPr>
        <w:t xml:space="preserve"> A few years later, Rahil wed Butrus al-Bustani, a Syrian Protestant with a Maronite background.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Marriages united other members of the Protestant Circle. The ABCFM missionary William Thomson wed Maria Abbott, the widow of Peter Abbott. One of Maria’s daughters, Julia, married the ABCFM missionary Cornelius Van Dyck, while another, Eliza, wed the Protestant British merchant, James Black.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these marriages tightened the ‘kinship’ bonds within the Protestant Circle, a noticeable divide, based upon race, affected matrimonial choice. Before 1860, Americans married other Americans, or Europeans, while Syrians married other Syrians. The sources do not reveal how the one exception to this norm, the marriage between Hannie Wortabet and Henry Reichardt, a German missionary, was perceived by the ABCFM missionaries and their Protestant colleagues, in light of this custom.</w:t>
      </w:r>
      <w:r w:rsidRPr="00440B9F">
        <w:rPr>
          <w:rStyle w:val="FootnoteReference"/>
          <w:rFonts w:ascii="Palatino Linotype" w:hAnsi="Palatino Linotype"/>
          <w:sz w:val="22"/>
          <w:szCs w:val="22"/>
          <w:lang w:val="en-GB"/>
        </w:rPr>
        <w:footnoteReference w:id="96"/>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The ceremonies performed for American Protestant weddings in Syria upheld American traditions and were ‘in the form of the established Church of England’ which employed the vows of the Anglican (Episcopal) </w:t>
      </w:r>
      <w:r w:rsidRPr="00440B9F">
        <w:rPr>
          <w:rFonts w:ascii="Palatino Linotype" w:hAnsi="Palatino Linotype"/>
          <w:i/>
          <w:sz w:val="22"/>
          <w:szCs w:val="22"/>
          <w:lang w:val="en-GB"/>
        </w:rPr>
        <w:t>Book of Common Prayer</w:t>
      </w:r>
      <w:r w:rsidRPr="00440B9F">
        <w:rPr>
          <w:rFonts w:ascii="Palatino Linotype" w:hAnsi="Palatino Linotype"/>
          <w:sz w:val="22"/>
          <w:szCs w:val="22"/>
          <w:lang w:val="en-GB"/>
        </w:rPr>
        <w:t>.</w:t>
      </w:r>
      <w:r w:rsidRPr="00440B9F">
        <w:rPr>
          <w:rStyle w:val="FootnoteReference"/>
          <w:rFonts w:ascii="Palatino Linotype" w:hAnsi="Palatino Linotype"/>
          <w:sz w:val="22"/>
          <w:szCs w:val="22"/>
          <w:lang w:val="en-GB"/>
        </w:rPr>
        <w:footnoteReference w:id="97"/>
      </w:r>
      <w:r w:rsidRPr="00440B9F">
        <w:rPr>
          <w:rFonts w:ascii="Palatino Linotype" w:hAnsi="Palatino Linotype"/>
          <w:sz w:val="22"/>
          <w:szCs w:val="22"/>
          <w:lang w:val="en-GB"/>
        </w:rPr>
        <w:t xml:space="preserve"> Less information is available on the type of ceremonies conducted for Syrian Protestant weddings. While Syrian marriage customs were criticised by the ABCFM missionaries as being ornate and excessive,</w:t>
      </w:r>
      <w:r w:rsidRPr="00440B9F">
        <w:rPr>
          <w:rStyle w:val="FootnoteReference"/>
          <w:rFonts w:ascii="Palatino Linotype" w:hAnsi="Palatino Linotype"/>
          <w:sz w:val="22"/>
          <w:szCs w:val="22"/>
          <w:lang w:val="en-GB"/>
        </w:rPr>
        <w:footnoteReference w:id="98"/>
      </w:r>
      <w:r w:rsidRPr="00440B9F">
        <w:rPr>
          <w:rFonts w:ascii="Palatino Linotype" w:hAnsi="Palatino Linotype"/>
          <w:sz w:val="22"/>
          <w:szCs w:val="22"/>
          <w:lang w:val="en-GB"/>
        </w:rPr>
        <w:t xml:space="preserve"> it is unclear if Syrian Protestants also rejected the manifold activities that composed Syrian wedding celebrations.</w:t>
      </w:r>
      <w:r w:rsidRPr="00440B9F">
        <w:rPr>
          <w:rStyle w:val="FootnoteReference"/>
          <w:rFonts w:ascii="Palatino Linotype" w:hAnsi="Palatino Linotype"/>
          <w:sz w:val="22"/>
          <w:szCs w:val="22"/>
          <w:lang w:val="en-GB"/>
        </w:rPr>
        <w:footnoteReference w:id="99"/>
      </w:r>
      <w:r w:rsidRPr="00440B9F">
        <w:rPr>
          <w:rFonts w:ascii="Palatino Linotype" w:hAnsi="Palatino Linotype"/>
          <w:sz w:val="22"/>
          <w:szCs w:val="22"/>
          <w:lang w:val="en-GB"/>
        </w:rPr>
        <w:t xml:space="preserve"> In 1851, Hetty Smith noted that two unnamed Syrian Protestants wished to be ‘married after our fashion out here’, for which she ‘prepared a cake and lemonade; [while the groom] sent in Arab sweetmeats and we had quite a time.’</w:t>
      </w:r>
      <w:r w:rsidRPr="00440B9F">
        <w:rPr>
          <w:rStyle w:val="FootnoteReference"/>
          <w:rFonts w:ascii="Palatino Linotype" w:hAnsi="Palatino Linotype"/>
          <w:sz w:val="22"/>
          <w:szCs w:val="22"/>
          <w:lang w:val="en-GB"/>
        </w:rPr>
        <w:footnoteReference w:id="100"/>
      </w:r>
      <w:r w:rsidRPr="00440B9F">
        <w:rPr>
          <w:rFonts w:ascii="Palatino Linotype" w:hAnsi="Palatino Linotype"/>
          <w:sz w:val="22"/>
          <w:szCs w:val="22"/>
          <w:lang w:val="en-GB"/>
        </w:rPr>
        <w:t xml:space="preserve"> Although Hetty’s description marked this hybrid ceremony as exceptional, it can be assumed that other Syrian Protestants modified their wedding ceremonies in order to accommodate for the different facets of their identity: Protestant, Syrian Maronite, Armenian, Greek Orthodox or Greek Catholic. Marriages and wedding ceremonies thus illuminate the different alliances that unified Protestants, the importance of kinship in strengthening the Protestant Circle, as well as the hybridity that these individuals embodied.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abovementioned exchanges also marked the boundaries for the Protestant Circle. Informal visitations with individuals who were outside of the Circle were infrequent, while letters were channels through which the Protestants criticised the activities of those outside of or marginal to the Protestant Circle. Although non-Protestants were invited to school exams and religious services, their intended role was to be an audience and receive the Protestant message. Likewise, Protestant baptismal and marriage ceremonies were argued to be different from those conducted by Latin missionaries and Syrian non-Protestant clergy.</w:t>
      </w:r>
      <w:r w:rsidRPr="00440B9F">
        <w:rPr>
          <w:rStyle w:val="FootnoteReference"/>
          <w:rFonts w:ascii="Palatino Linotype" w:hAnsi="Palatino Linotype"/>
          <w:sz w:val="22"/>
          <w:szCs w:val="22"/>
          <w:lang w:val="en-GB"/>
        </w:rPr>
        <w:footnoteReference w:id="101"/>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important boundary for the Protestant Circle was with the (perceived) intent of performing these activities. The ABCFM missionaries asserted the ideal of ‘political disinterestedness’, which is the phrase I use to describe the pursuit of alliances as void of overt, ulterior motives, such as for economic wealth, social prestige or political security.</w:t>
      </w:r>
      <w:r w:rsidRPr="00440B9F">
        <w:rPr>
          <w:rStyle w:val="FootnoteReference"/>
          <w:rFonts w:ascii="Palatino Linotype" w:hAnsi="Palatino Linotype"/>
          <w:sz w:val="22"/>
          <w:szCs w:val="22"/>
          <w:lang w:val="en-GB"/>
        </w:rPr>
        <w:footnoteReference w:id="102"/>
      </w:r>
      <w:r w:rsidRPr="00440B9F">
        <w:rPr>
          <w:rFonts w:ascii="Palatino Linotype" w:hAnsi="Palatino Linotype"/>
          <w:sz w:val="22"/>
          <w:szCs w:val="22"/>
          <w:lang w:val="en-GB"/>
        </w:rPr>
        <w:t xml:space="preserve"> For the ABCFM, all interactions were to be conducted with the goal of advancing Protestantism and to reform the ills of the world. One way that this was (believed to be) achieved was for the individual to not perceive him/herself as an agent of a particular nation or trading company, but ‘to feel himself [as] a citizen of the world’.</w:t>
      </w:r>
      <w:r w:rsidRPr="00440B9F">
        <w:rPr>
          <w:rStyle w:val="FootnoteReference"/>
          <w:rFonts w:ascii="Palatino Linotype" w:hAnsi="Palatino Linotype"/>
          <w:sz w:val="22"/>
          <w:szCs w:val="22"/>
          <w:lang w:val="en-GB"/>
        </w:rPr>
        <w:footnoteReference w:id="103"/>
      </w:r>
      <w:r w:rsidRPr="00440B9F">
        <w:rPr>
          <w:rFonts w:ascii="Palatino Linotype" w:hAnsi="Palatino Linotype"/>
          <w:sz w:val="22"/>
          <w:szCs w:val="22"/>
          <w:lang w:val="en-GB"/>
        </w:rPr>
        <w:t xml:space="preserve"> The ABCFM cautioned that ‘should ours become a political mission, we should have little reason to hope for God’s further blessing upon our labours.’</w:t>
      </w:r>
      <w:r w:rsidRPr="00440B9F">
        <w:rPr>
          <w:rStyle w:val="FootnoteReference"/>
          <w:rFonts w:ascii="Palatino Linotype" w:hAnsi="Palatino Linotype"/>
          <w:sz w:val="22"/>
          <w:szCs w:val="22"/>
          <w:lang w:val="en-GB"/>
        </w:rPr>
        <w:footnoteReference w:id="104"/>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missionaries contrasted their political disinterestedness to the (perceived) motivations of others. During the nineteenth century, Great Britain, France and Russia, and to a lesser extent the United States, strengthened their influence in the Ottoman Empire through securing letters of protection for their citizens living in the region and affiliated Ottoman subjects. This protection was based upon the economic capitulations previously granted by the Porte to merchants as a way to encourage trade, but were gradually expanded to include all foreign citizens and Ottoman subjects with certain religious or ethnic backgrounds.</w:t>
      </w:r>
      <w:r w:rsidRPr="00440B9F">
        <w:rPr>
          <w:rFonts w:ascii="Palatino Linotype" w:hAnsi="Palatino Linotype"/>
          <w:sz w:val="22"/>
          <w:szCs w:val="22"/>
          <w:vertAlign w:val="superscript"/>
          <w:lang w:val="en-GB"/>
        </w:rPr>
        <w:footnoteReference w:id="105"/>
      </w:r>
      <w:r w:rsidRPr="00440B9F">
        <w:rPr>
          <w:rFonts w:ascii="Palatino Linotype" w:hAnsi="Palatino Linotype"/>
          <w:sz w:val="22"/>
          <w:szCs w:val="22"/>
          <w:lang w:val="en-GB"/>
        </w:rPr>
        <w:t xml:space="preserve"> The ABCFM argued that the abuses of this system were rampant and alleged that Latin missionaries in particular, violated political disinterestedness through their work in encouraging French imperialism.</w:t>
      </w:r>
      <w:r w:rsidRPr="00440B9F">
        <w:rPr>
          <w:rFonts w:ascii="Palatino Linotype" w:hAnsi="Palatino Linotype"/>
          <w:sz w:val="22"/>
          <w:szCs w:val="22"/>
          <w:vertAlign w:val="superscript"/>
          <w:lang w:val="en-GB"/>
        </w:rPr>
        <w:footnoteReference w:id="106"/>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Problematising their assertion of political disinterestedness however, the ABCFM missionaries were close acquaintances of the British and American consuls in the region. These relationships were not constructed around political goals however, but a shared commitment to the Protestant faith and culture.</w:t>
      </w:r>
      <w:r w:rsidRPr="00440B9F">
        <w:rPr>
          <w:rStyle w:val="FootnoteReference"/>
          <w:rFonts w:ascii="Palatino Linotype" w:hAnsi="Palatino Linotype"/>
          <w:sz w:val="22"/>
          <w:szCs w:val="22"/>
          <w:lang w:val="en-GB"/>
        </w:rPr>
        <w:footnoteReference w:id="107"/>
      </w:r>
      <w:r w:rsidRPr="00440B9F">
        <w:rPr>
          <w:rFonts w:ascii="Palatino Linotype" w:hAnsi="Palatino Linotype"/>
          <w:sz w:val="22"/>
          <w:szCs w:val="22"/>
          <w:lang w:val="en-GB"/>
        </w:rPr>
        <w:t xml:space="preserve"> It was already mentioned that the English-language Sabbath services were conducted at the British and later American consulates in Beirut. During the 1850s, the American consulate was located near the ‘Old Susa house’, so that the missionary Hetty Smith became close friends with the consul’s wife, Mrs. J. Hosford Smith.</w:t>
      </w:r>
      <w:r w:rsidRPr="00440B9F">
        <w:rPr>
          <w:rStyle w:val="FootnoteReference"/>
          <w:rFonts w:ascii="Palatino Linotype" w:hAnsi="Palatino Linotype"/>
          <w:sz w:val="22"/>
          <w:szCs w:val="22"/>
          <w:lang w:val="en-GB"/>
        </w:rPr>
        <w:footnoteReference w:id="108"/>
      </w:r>
      <w:r w:rsidRPr="00440B9F">
        <w:rPr>
          <w:rFonts w:ascii="Palatino Linotype" w:hAnsi="Palatino Linotype"/>
          <w:sz w:val="22"/>
          <w:szCs w:val="22"/>
          <w:lang w:val="en-GB"/>
        </w:rPr>
        <w:t xml:space="preserve"> The friendly nature of the ABCFM missionaries’ ‘political’ alliances was emphasised through their reaction to the arrival of the </w:t>
      </w:r>
      <w:r w:rsidRPr="00440B9F">
        <w:rPr>
          <w:rFonts w:ascii="Palatino Linotype" w:hAnsi="Palatino Linotype"/>
          <w:i/>
          <w:sz w:val="22"/>
          <w:szCs w:val="22"/>
          <w:lang w:val="en-GB"/>
        </w:rPr>
        <w:t>USS Cornelius</w:t>
      </w:r>
      <w:r w:rsidRPr="00440B9F">
        <w:rPr>
          <w:rFonts w:ascii="Palatino Linotype" w:hAnsi="Palatino Linotype"/>
          <w:sz w:val="22"/>
          <w:szCs w:val="22"/>
          <w:lang w:val="en-GB"/>
        </w:rPr>
        <w:t>, in 1850: which they celebrated with a party. Although one could argue that this demonstrated the missionaries’ encouragement of American imperialism, descriptions of the party illuminate that the missionaries’ were more interested in sharing American food and discourse with the sailors then promoting America’s military presence in the region.</w:t>
      </w:r>
      <w:r w:rsidRPr="00440B9F">
        <w:rPr>
          <w:rStyle w:val="FootnoteReference"/>
          <w:rFonts w:ascii="Palatino Linotype" w:hAnsi="Palatino Linotype"/>
          <w:sz w:val="22"/>
          <w:szCs w:val="22"/>
          <w:lang w:val="en-GB"/>
        </w:rPr>
        <w:footnoteReference w:id="109"/>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Changes in the religious-political structures of Ottoman Syria also problematised the ABCFM’s demand for political disinterestedness. A number of Syrians applied their Protestant or American affiliations to pursue non-religious activities, like trade. These individuals were chastised by the missionaries and even expelled from the Protestant Church. To prevent such abuses, the application process for the ECB was made especially stringent in the hopes that it would limit the number of Syrians who were officially recognised by Ottoman officials as Protestants to those who passed this rigid theological boundary.</w:t>
      </w:r>
      <w:r w:rsidRPr="00440B9F">
        <w:rPr>
          <w:rStyle w:val="FootnoteReference"/>
          <w:rFonts w:ascii="Palatino Linotype" w:hAnsi="Palatino Linotype"/>
          <w:sz w:val="22"/>
          <w:szCs w:val="22"/>
          <w:lang w:val="en-GB"/>
        </w:rPr>
        <w:footnoteReference w:id="110"/>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This conservative stance limited the avenues for political recourse available to members of the Protestant Community, including recognised members of the Mission Church and the ECB. Being affiliated with a new Christian community and a relatively powerless nation meant that Syrian Protestants occupied precious and potentially dangerous positions within Ottoman legal structures. This necessitated their negotiation of different social and political affiliations, which is illuminated in the conflict between Rahil Ata and her family over her marriage. Upon receiving news of Rahil’s troubles, the ABCFM missionaries sought help from ‘our kind neighbour and very kind friend, the Prussian consul-general [Major L. de Wildenbruck]’. In opposition, the Ata family sought assistance from a Russian dragoman, for they were members of the Greek Orthodox Church and fell under Russian protection. The Ottoman governor in Beirut also became involved in the dispute and ‘sent his dragoman to the American consul, and demanded that Rahil should be brought before him.’ However, ‘[the American] consul [Jasper Chasseaud] declined [involvement] on the ground that she was not now under his command, being in the Prussian consulate’. This conflict was resolved when the </w:t>
      </w:r>
      <w:r w:rsidRPr="00440B9F">
        <w:rPr>
          <w:rFonts w:ascii="Palatino Linotype" w:hAnsi="Palatino Linotype"/>
          <w:i/>
          <w:sz w:val="22"/>
          <w:szCs w:val="22"/>
          <w:lang w:val="en-GB"/>
        </w:rPr>
        <w:t xml:space="preserve">wālī </w:t>
      </w:r>
      <w:r w:rsidRPr="00440B9F">
        <w:rPr>
          <w:rFonts w:ascii="Palatino Linotype" w:hAnsi="Palatino Linotype"/>
          <w:sz w:val="22"/>
          <w:szCs w:val="22"/>
          <w:lang w:val="en-GB"/>
        </w:rPr>
        <w:t>granted Rahil the right to refuse her family’s marriage contract and remain within the Protestant community.</w:t>
      </w:r>
      <w:r w:rsidRPr="00440B9F">
        <w:rPr>
          <w:rStyle w:val="FootnoteReference"/>
          <w:rFonts w:ascii="Palatino Linotype" w:hAnsi="Palatino Linotype"/>
          <w:sz w:val="22"/>
          <w:szCs w:val="22"/>
          <w:lang w:val="en-GB"/>
        </w:rPr>
        <w:footnoteReference w:id="111"/>
      </w:r>
      <w:r w:rsidRPr="00440B9F">
        <w:rPr>
          <w:rFonts w:ascii="Palatino Linotype" w:hAnsi="Palatino Linotype"/>
          <w:sz w:val="22"/>
          <w:szCs w:val="22"/>
          <w:lang w:val="en-GB"/>
        </w:rPr>
        <w:t xml:space="preserve"> Although the outcome of this story is interesting, more telling were the different alliances employed by Rahil and the ABCFM missionaries to maintain their position. The Prussian Consulate-General, whose affiliation was as a ‘neighbour and friend’, was the first to offer help. In contrast, the American Consul refused to protect Rahil, despite the fact that she was a paid employee of the ABCFM, which made her eligible of American protection. In this case, the weak political pull of the American consulate resulted in Rahil’s reliance upon a ‘friend’ for political security. </w:t>
      </w:r>
    </w:p>
    <w:p w:rsidR="007F7DD4" w:rsidRDefault="007F7DD4" w:rsidP="001761FF">
      <w:pPr>
        <w:pStyle w:val="BodyText"/>
        <w:spacing w:line="360" w:lineRule="auto"/>
        <w:jc w:val="both"/>
        <w:rPr>
          <w:rFonts w:ascii="Palatino Linotype" w:hAnsi="Palatino Linotype"/>
          <w:lang w:val="en-GB"/>
        </w:rPr>
      </w:pPr>
      <w:r w:rsidRPr="00440B9F">
        <w:rPr>
          <w:rFonts w:ascii="Palatino Linotype" w:hAnsi="Palatino Linotype"/>
          <w:sz w:val="22"/>
          <w:szCs w:val="22"/>
          <w:lang w:val="en-GB"/>
        </w:rPr>
        <w:tab/>
        <w:t>One way to alleviate similar problems was for a Protestant millet to be established as a distinct religious-political body within the Ottoman structures. Many in the ABCFM were reluctant to support this initiative, for they argued that it countered their original, ‘disinterested’ intent ‘not to pull down or build up a [new] sect’, but to reform individuals within their own churches.</w:t>
      </w:r>
      <w:r w:rsidRPr="00440B9F">
        <w:rPr>
          <w:rStyle w:val="FootnoteReference"/>
          <w:rFonts w:ascii="Palatino Linotype" w:hAnsi="Palatino Linotype"/>
          <w:sz w:val="22"/>
          <w:szCs w:val="22"/>
          <w:lang w:val="en-GB"/>
        </w:rPr>
        <w:footnoteReference w:id="112"/>
      </w:r>
      <w:r w:rsidRPr="00440B9F">
        <w:rPr>
          <w:rFonts w:ascii="Palatino Linotype" w:hAnsi="Palatino Linotype"/>
          <w:sz w:val="22"/>
          <w:szCs w:val="22"/>
          <w:lang w:val="en-GB"/>
        </w:rPr>
        <w:t xml:space="preserve"> However, a number of the ‘reformed’ Syrians were excommunicated from their original religious-political communities, due to their new Protestant beliefs and commitments, thus cutting them off from previous sources of political protection.</w:t>
      </w:r>
      <w:r w:rsidRPr="00440B9F">
        <w:rPr>
          <w:rStyle w:val="FootnoteReference"/>
          <w:rFonts w:ascii="Palatino Linotype" w:hAnsi="Palatino Linotype"/>
          <w:sz w:val="22"/>
          <w:szCs w:val="22"/>
          <w:lang w:val="en-GB"/>
        </w:rPr>
        <w:footnoteReference w:id="113"/>
      </w:r>
      <w:r w:rsidRPr="00440B9F">
        <w:rPr>
          <w:rFonts w:ascii="Palatino Linotype" w:hAnsi="Palatino Linotype"/>
          <w:sz w:val="22"/>
          <w:szCs w:val="22"/>
          <w:lang w:val="en-GB"/>
        </w:rPr>
        <w:t xml:space="preserve"> This was particularly evident in 1844, when roughly a hundred Christians from Hasbaya approached the Protestants in Beirut with a desire to break from the Greek Orthodox Church and join the Protestant community. These self-proclaimed Protestants were excommunicated by the Patriarch, criticised by their local Druze emir and cut off from their neighbours.</w:t>
      </w:r>
      <w:r w:rsidRPr="00440B9F">
        <w:rPr>
          <w:rStyle w:val="FootnoteReference"/>
          <w:rFonts w:ascii="Palatino Linotype" w:hAnsi="Palatino Linotype"/>
          <w:sz w:val="22"/>
          <w:szCs w:val="22"/>
          <w:lang w:val="en-GB"/>
        </w:rPr>
        <w:footnoteReference w:id="114"/>
      </w:r>
      <w:r w:rsidRPr="00440B9F">
        <w:rPr>
          <w:rFonts w:ascii="Palatino Linotype" w:hAnsi="Palatino Linotype"/>
          <w:sz w:val="22"/>
          <w:szCs w:val="22"/>
          <w:lang w:val="en-GB"/>
        </w:rPr>
        <w:t xml:space="preserve"> While the ABCFM debated a response, the now isolated Hasbaya Protestants petitioned the Pasha of Damascus and the Porte in Constantinople, asking for the Ottomans to uphold the </w:t>
      </w:r>
      <w:r w:rsidRPr="00440B9F">
        <w:rPr>
          <w:rFonts w:ascii="Palatino Linotype" w:hAnsi="Palatino Linotype"/>
          <w:i/>
          <w:sz w:val="22"/>
          <w:szCs w:val="22"/>
          <w:lang w:val="en-GB"/>
        </w:rPr>
        <w:t>Hatt-ı Sherif</w:t>
      </w:r>
      <w:r w:rsidRPr="00440B9F">
        <w:rPr>
          <w:rFonts w:ascii="Palatino Linotype" w:hAnsi="Palatino Linotype"/>
          <w:sz w:val="22"/>
          <w:szCs w:val="22"/>
          <w:lang w:val="en-GB"/>
        </w:rPr>
        <w:t xml:space="preserve"> and protect their religious and civil rights.</w:t>
      </w:r>
      <w:r w:rsidRPr="00440B9F">
        <w:rPr>
          <w:rStyle w:val="FootnoteReference"/>
          <w:rFonts w:ascii="Palatino Linotype" w:hAnsi="Palatino Linotype"/>
          <w:sz w:val="22"/>
          <w:szCs w:val="22"/>
          <w:lang w:val="en-GB"/>
        </w:rPr>
        <w:footnoteReference w:id="115"/>
      </w:r>
      <w:r w:rsidRPr="00440B9F">
        <w:rPr>
          <w:rFonts w:ascii="Palatino Linotype" w:hAnsi="Palatino Linotype"/>
          <w:sz w:val="22"/>
          <w:szCs w:val="22"/>
          <w:lang w:val="en-GB"/>
        </w:rPr>
        <w:t xml:space="preserve"> Three years later, in 1848, a </w:t>
      </w:r>
      <w:r w:rsidRPr="00440B9F">
        <w:rPr>
          <w:rFonts w:ascii="Palatino Linotype" w:hAnsi="Palatino Linotype"/>
          <w:i/>
          <w:sz w:val="22"/>
          <w:szCs w:val="22"/>
          <w:lang w:val="en-GB"/>
        </w:rPr>
        <w:t>firman</w:t>
      </w:r>
      <w:r w:rsidRPr="00440B9F">
        <w:rPr>
          <w:rFonts w:ascii="Palatino Linotype" w:hAnsi="Palatino Linotype"/>
          <w:sz w:val="22"/>
          <w:szCs w:val="22"/>
          <w:lang w:val="en-GB"/>
        </w:rPr>
        <w:t xml:space="preserve"> was pronounced in Constantinople (addressed to the British government) stating that Protestantism was a recognised faith and protected by ‘civil authorities’ ‘from any illegal interference with their rites and ceremonies’.</w:t>
      </w:r>
      <w:r w:rsidRPr="00440B9F">
        <w:rPr>
          <w:rStyle w:val="FootnoteReference"/>
          <w:rFonts w:ascii="Palatino Linotype" w:hAnsi="Palatino Linotype"/>
          <w:sz w:val="22"/>
          <w:szCs w:val="22"/>
          <w:lang w:val="en-GB"/>
        </w:rPr>
        <w:footnoteReference w:id="116"/>
      </w:r>
      <w:r w:rsidRPr="00440B9F">
        <w:rPr>
          <w:rFonts w:ascii="Palatino Linotype" w:hAnsi="Palatino Linotype"/>
          <w:sz w:val="22"/>
          <w:szCs w:val="22"/>
          <w:lang w:val="en-GB"/>
        </w:rPr>
        <w:t xml:space="preserve"> In essence, a new Protestant millet was created under the authority of the Porte who elected ‘a civil head of Protestantism’ in Constantinople,</w:t>
      </w:r>
      <w:r w:rsidRPr="00440B9F">
        <w:rPr>
          <w:rStyle w:val="FootnoteReference"/>
          <w:rFonts w:ascii="Palatino Linotype" w:hAnsi="Palatino Linotype"/>
          <w:sz w:val="22"/>
          <w:szCs w:val="22"/>
          <w:lang w:val="en-GB"/>
        </w:rPr>
        <w:footnoteReference w:id="117"/>
      </w:r>
      <w:r w:rsidRPr="00440B9F">
        <w:rPr>
          <w:rFonts w:ascii="Palatino Linotype" w:hAnsi="Palatino Linotype"/>
          <w:sz w:val="22"/>
          <w:szCs w:val="22"/>
          <w:lang w:val="en-GB"/>
        </w:rPr>
        <w:t xml:space="preserve"> despite the reluctance of the ABCFM to politicise the Protestant movement. In other words, although political disinterestedness functioned as a standard to judge the motives of individual Protestants, it became necessary to violate this ideal in order to protect those who formed the Protestant Circle. </w:t>
      </w:r>
    </w:p>
    <w:p w:rsidR="007F7DD4" w:rsidRDefault="007F7DD4" w:rsidP="001761FF">
      <w:pPr>
        <w:pStyle w:val="BodyText"/>
        <w:spacing w:line="360" w:lineRule="auto"/>
        <w:jc w:val="both"/>
        <w:rPr>
          <w:rFonts w:ascii="Palatino Linotype" w:hAnsi="Palatino Linotype"/>
          <w:lang w:val="en-GB"/>
        </w:rPr>
      </w:pPr>
    </w:p>
    <w:p w:rsidR="007F7DD4" w:rsidRDefault="007F7DD4" w:rsidP="001761FF">
      <w:pPr>
        <w:pStyle w:val="BodyText"/>
        <w:spacing w:line="360" w:lineRule="auto"/>
        <w:jc w:val="both"/>
        <w:rPr>
          <w:rFonts w:ascii="Palatino Linotype" w:hAnsi="Palatino Linotype"/>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Default="007F7DD4" w:rsidP="001761FF">
      <w:pPr>
        <w:pStyle w:val="BodyText"/>
        <w:spacing w:line="360" w:lineRule="auto"/>
        <w:jc w:val="both"/>
        <w:rPr>
          <w:rFonts w:ascii="Palatino Linotype" w:hAnsi="Palatino Linotype"/>
          <w:smallCaps/>
          <w:lang w:val="en-GB"/>
        </w:rPr>
      </w:pPr>
    </w:p>
    <w:p w:rsidR="007F7DD4" w:rsidRPr="00440B9F" w:rsidRDefault="007F7DD4" w:rsidP="001761FF">
      <w:pPr>
        <w:pStyle w:val="BodyText"/>
        <w:spacing w:line="360" w:lineRule="auto"/>
        <w:jc w:val="center"/>
        <w:rPr>
          <w:rFonts w:ascii="Arial" w:hAnsi="Arial" w:cs="Arial"/>
          <w:i/>
          <w:smallCaps/>
          <w:sz w:val="22"/>
          <w:szCs w:val="22"/>
          <w:lang w:val="en-GB"/>
        </w:rPr>
      </w:pPr>
      <w:r w:rsidRPr="00440B9F">
        <w:rPr>
          <w:rFonts w:ascii="Arial" w:hAnsi="Arial" w:cs="Arial"/>
          <w:i/>
          <w:smallCaps/>
          <w:sz w:val="22"/>
          <w:szCs w:val="22"/>
          <w:lang w:val="en-GB"/>
        </w:rPr>
        <w:t>Cultural Capital</w:t>
      </w:r>
    </w:p>
    <w:p w:rsidR="007F7DD4" w:rsidRPr="00440B9F" w:rsidRDefault="007F7DD4" w:rsidP="001761FF">
      <w:pPr>
        <w:pStyle w:val="BodyText"/>
        <w:spacing w:line="360" w:lineRule="auto"/>
        <w:jc w:val="both"/>
        <w:rPr>
          <w:rFonts w:ascii="Palatino Linotype" w:hAnsi="Palatino Linotype"/>
          <w:smallCaps/>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 culture of the Protestant Circle identified this community from others in Ottoman Syria. One of the major facets of their cultural capital was education.</w:t>
      </w:r>
      <w:r w:rsidRPr="00440B9F">
        <w:rPr>
          <w:rFonts w:ascii="Palatino Linotype" w:hAnsi="Palatino Linotype"/>
          <w:sz w:val="22"/>
          <w:szCs w:val="22"/>
          <w:vertAlign w:val="superscript"/>
          <w:lang w:val="en-GB"/>
        </w:rPr>
        <w:footnoteReference w:id="118"/>
      </w:r>
      <w:r w:rsidRPr="00440B9F">
        <w:rPr>
          <w:rFonts w:ascii="Palatino Linotype" w:hAnsi="Palatino Linotype"/>
          <w:sz w:val="22"/>
          <w:szCs w:val="22"/>
          <w:lang w:val="en-GB"/>
        </w:rPr>
        <w:t xml:space="preserve"> In 1840, the ABCFM missionary Eli Smith asserted that ‘the work of missions requires a character well disciplined by a thorough education’.</w:t>
      </w:r>
      <w:r w:rsidRPr="00440B9F">
        <w:rPr>
          <w:rFonts w:ascii="Palatino Linotype" w:hAnsi="Palatino Linotype"/>
          <w:sz w:val="22"/>
          <w:szCs w:val="22"/>
          <w:vertAlign w:val="superscript"/>
          <w:lang w:val="en-GB"/>
        </w:rPr>
        <w:footnoteReference w:id="119"/>
      </w:r>
      <w:r w:rsidRPr="00440B9F">
        <w:rPr>
          <w:rFonts w:ascii="Palatino Linotype" w:hAnsi="Palatino Linotype"/>
          <w:sz w:val="22"/>
          <w:szCs w:val="22"/>
          <w:lang w:val="en-GB"/>
        </w:rPr>
        <w:t xml:space="preserve"> Smith’s requirement was gradually expanded, so that the normative terms for Protestantism encompassed a specific definition of education that was to be enacted by all in this community. This section examines two facets of Protestant education: Biblical and scientific knowledge. It analyses how these forms of knowledge were defined and displayed, showing that individual acquisition of Protestant education affected the relationships within the Circle, but in a manner that often reinforced the centrality of the ABCFM male missionaries.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Knowledge of the Bible was an important feature of the Protestant Circle. Members of the Protestant Church held ‘[t]he Bible, as the only rule of faith and duty, the plan of free salvation by grace through faith in Christ alone, and the way of access to the Father by the Son only.’</w:t>
      </w:r>
      <w:r w:rsidRPr="00440B9F">
        <w:rPr>
          <w:rFonts w:ascii="Palatino Linotype" w:hAnsi="Palatino Linotype"/>
          <w:sz w:val="22"/>
          <w:szCs w:val="22"/>
          <w:vertAlign w:val="superscript"/>
          <w:lang w:val="en-GB"/>
        </w:rPr>
        <w:footnoteReference w:id="120"/>
      </w:r>
      <w:r w:rsidRPr="00440B9F">
        <w:rPr>
          <w:rFonts w:ascii="Palatino Linotype" w:hAnsi="Palatino Linotype"/>
          <w:sz w:val="22"/>
          <w:szCs w:val="22"/>
          <w:lang w:val="en-GB"/>
        </w:rPr>
        <w:t xml:space="preserve"> The Protestants’ contrasted their Bible-centred culture to other Christian denominations, which, the Protestants argued, advocated non-Biblical practices, such as the invocation of the saints and the rigid performances of feasts and fasts. It was through conflating secular education with religious studies that the ABCFM missionaries and Syrian Protestants sought to dispel ‘superstitious’ beliefs and make individuals ‘wise unto salvation’.</w:t>
      </w:r>
      <w:r w:rsidRPr="00440B9F">
        <w:rPr>
          <w:rStyle w:val="FootnoteReference"/>
          <w:rFonts w:ascii="Palatino Linotype" w:hAnsi="Palatino Linotype"/>
          <w:sz w:val="22"/>
          <w:szCs w:val="22"/>
          <w:lang w:val="en-GB"/>
        </w:rPr>
        <w:footnoteReference w:id="121"/>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the ABCFM asserted that it was only through engaging with the Bible that salvation was realised,</w:t>
      </w:r>
      <w:r w:rsidRPr="00440B9F">
        <w:rPr>
          <w:rFonts w:ascii="Palatino Linotype" w:hAnsi="Palatino Linotype"/>
          <w:sz w:val="22"/>
          <w:szCs w:val="22"/>
          <w:vertAlign w:val="superscript"/>
          <w:lang w:val="en-GB"/>
        </w:rPr>
        <w:footnoteReference w:id="122"/>
      </w:r>
      <w:r w:rsidRPr="00440B9F">
        <w:rPr>
          <w:rFonts w:ascii="Palatino Linotype" w:hAnsi="Palatino Linotype"/>
          <w:sz w:val="22"/>
          <w:szCs w:val="22"/>
          <w:lang w:val="en-GB"/>
        </w:rPr>
        <w:t xml:space="preserve"> the Protestants modified Scripture to ensure that individuals properly understood the message of salvation through Christ alone.</w:t>
      </w:r>
      <w:r w:rsidRPr="00440B9F">
        <w:rPr>
          <w:rStyle w:val="FootnoteReference"/>
          <w:rFonts w:ascii="Palatino Linotype" w:hAnsi="Palatino Linotype"/>
          <w:sz w:val="22"/>
          <w:szCs w:val="22"/>
          <w:lang w:val="en-GB"/>
        </w:rPr>
        <w:footnoteReference w:id="123"/>
      </w:r>
      <w:r w:rsidRPr="00440B9F">
        <w:rPr>
          <w:rFonts w:ascii="Palatino Linotype" w:hAnsi="Palatino Linotype"/>
          <w:sz w:val="22"/>
          <w:szCs w:val="22"/>
          <w:lang w:val="en-GB"/>
        </w:rPr>
        <w:t xml:space="preserve"> These modifications altered the way that religious education was taught and, in turn, performed by Protestants. On the most basic level, the Bible had to be accessible to all. While some American seminarians studied the Bible in its original Greek and Hebrew, the ABCFM and other reformers supported the translation of the Bible into vernacular languages.</w:t>
      </w:r>
      <w:r w:rsidRPr="00440B9F">
        <w:rPr>
          <w:rStyle w:val="FootnoteReference"/>
          <w:rFonts w:ascii="Palatino Linotype" w:hAnsi="Palatino Linotype"/>
          <w:sz w:val="22"/>
          <w:szCs w:val="22"/>
          <w:lang w:val="en-GB"/>
        </w:rPr>
        <w:footnoteReference w:id="124"/>
      </w:r>
      <w:r w:rsidRPr="00440B9F">
        <w:rPr>
          <w:rFonts w:ascii="Palatino Linotype" w:hAnsi="Palatino Linotype"/>
          <w:sz w:val="22"/>
          <w:szCs w:val="22"/>
          <w:lang w:val="en-GB"/>
        </w:rPr>
        <w:t xml:space="preserve"> During the early nineteenth century, the Arabic Bible available in Syria was an edition printed in Rome or at Syrian monasteries. Being originally produced for monastic use, this translation was in classical Arabic, which confounded many lay listeners and readers. One Protestant commentator argued that this version ‘follow[ed] the Vulgate, [had] many inaccuracies, and its Arabic [was] often quite ungrammatical’.</w:t>
      </w:r>
      <w:r w:rsidRPr="00440B9F">
        <w:rPr>
          <w:rFonts w:ascii="Palatino Linotype" w:hAnsi="Palatino Linotype"/>
          <w:sz w:val="22"/>
          <w:szCs w:val="22"/>
          <w:vertAlign w:val="superscript"/>
          <w:lang w:val="en-GB"/>
        </w:rPr>
        <w:footnoteReference w:id="125"/>
      </w:r>
      <w:r w:rsidRPr="00440B9F">
        <w:rPr>
          <w:rFonts w:ascii="Palatino Linotype" w:hAnsi="Palatino Linotype"/>
          <w:sz w:val="22"/>
          <w:szCs w:val="22"/>
          <w:lang w:val="en-GB"/>
        </w:rPr>
        <w:t xml:space="preserve"> As a result, an early endeavour for the Syrian Station was to publish their own translation of Biblical passages, including the ‘Sermon on the Mount’ and ‘The Passion of Christ, as in Matt. xxvii’.</w:t>
      </w:r>
      <w:r w:rsidRPr="00440B9F">
        <w:rPr>
          <w:rStyle w:val="FootnoteReference"/>
          <w:rFonts w:ascii="Palatino Linotype" w:hAnsi="Palatino Linotype"/>
          <w:sz w:val="22"/>
          <w:szCs w:val="22"/>
          <w:lang w:val="en-GB"/>
        </w:rPr>
        <w:footnoteReference w:id="126"/>
      </w:r>
      <w:r w:rsidRPr="00440B9F">
        <w:rPr>
          <w:rFonts w:ascii="Palatino Linotype" w:hAnsi="Palatino Linotype"/>
          <w:sz w:val="22"/>
          <w:szCs w:val="22"/>
          <w:lang w:val="en-GB"/>
        </w:rPr>
        <w:t xml:space="preserve"> A full translation was commenced in 1848 under the supervision of Eli Smith and Butrus al-Bustani, which was finished by Cornelius Van Dyck.</w:t>
      </w:r>
      <w:r w:rsidRPr="00440B9F">
        <w:rPr>
          <w:rStyle w:val="FootnoteReference"/>
          <w:rFonts w:ascii="Palatino Linotype" w:hAnsi="Palatino Linotype"/>
          <w:sz w:val="22"/>
          <w:szCs w:val="22"/>
          <w:lang w:val="en-GB"/>
        </w:rPr>
        <w:footnoteReference w:id="127"/>
      </w:r>
      <w:r w:rsidRPr="00440B9F">
        <w:rPr>
          <w:rFonts w:ascii="Palatino Linotype" w:hAnsi="Palatino Linotype"/>
          <w:sz w:val="22"/>
          <w:szCs w:val="22"/>
          <w:lang w:val="en-GB"/>
        </w:rPr>
        <w:t xml:space="preserve"> Nasif el-Yaziji assisted in correcting the Arabic grammar while other American, European and Syrian Protestants independently assessed the work.</w:t>
      </w:r>
      <w:r w:rsidRPr="00440B9F">
        <w:rPr>
          <w:rStyle w:val="FootnoteReference"/>
          <w:rFonts w:ascii="Palatino Linotype" w:hAnsi="Palatino Linotype"/>
          <w:sz w:val="22"/>
          <w:szCs w:val="22"/>
          <w:lang w:val="en-GB"/>
        </w:rPr>
        <w:footnoteReference w:id="128"/>
      </w:r>
      <w:r w:rsidRPr="00440B9F">
        <w:rPr>
          <w:rFonts w:ascii="Palatino Linotype" w:hAnsi="Palatino Linotype"/>
          <w:sz w:val="22"/>
          <w:szCs w:val="22"/>
          <w:lang w:val="en-GB"/>
        </w:rPr>
        <w:t xml:space="preserve"> It was hoped that through this arduous process, a version of Scripture would be produced that was ‘acceptable in the style, to the common [Arabic] readers’, thus increasing both the number of those possessing Biblical knowledge and those saved by its message.</w:t>
      </w:r>
      <w:r w:rsidRPr="00440B9F">
        <w:rPr>
          <w:rStyle w:val="FootnoteReference"/>
          <w:rFonts w:ascii="Palatino Linotype" w:hAnsi="Palatino Linotype"/>
          <w:sz w:val="22"/>
          <w:szCs w:val="22"/>
          <w:lang w:val="en-GB"/>
        </w:rPr>
        <w:footnoteReference w:id="129"/>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 second modification in the Protestants’ Biblical scholarship was the use of Evangelical books and tracts for educational instruction. These works employed simplified language and allegory to convey the Gospel message.</w:t>
      </w:r>
      <w:r w:rsidRPr="00440B9F">
        <w:rPr>
          <w:rStyle w:val="FootnoteReference"/>
          <w:rFonts w:ascii="Palatino Linotype" w:hAnsi="Palatino Linotype"/>
          <w:sz w:val="22"/>
          <w:szCs w:val="22"/>
          <w:lang w:val="en-GB"/>
        </w:rPr>
        <w:footnoteReference w:id="130"/>
      </w:r>
      <w:r w:rsidRPr="00440B9F">
        <w:rPr>
          <w:rFonts w:ascii="Palatino Linotype" w:hAnsi="Palatino Linotype"/>
          <w:sz w:val="22"/>
          <w:szCs w:val="22"/>
          <w:lang w:val="en-GB"/>
        </w:rPr>
        <w:t xml:space="preserve"> Reading Evangelical literature was regarded as appropriate steps ‘suitable to the capacity’ of children and other ‘young’ Christians, for they nurtured religious knowledge until it could be properly comprehended.</w:t>
      </w:r>
      <w:r w:rsidRPr="00440B9F">
        <w:rPr>
          <w:rFonts w:ascii="Palatino Linotype" w:hAnsi="Palatino Linotype"/>
          <w:sz w:val="22"/>
          <w:szCs w:val="22"/>
          <w:vertAlign w:val="superscript"/>
          <w:lang w:val="en-GB"/>
        </w:rPr>
        <w:footnoteReference w:id="131"/>
      </w:r>
      <w:r w:rsidRPr="00440B9F">
        <w:rPr>
          <w:rFonts w:ascii="Palatino Linotype" w:hAnsi="Palatino Linotype"/>
          <w:sz w:val="22"/>
          <w:szCs w:val="22"/>
          <w:lang w:val="en-GB"/>
        </w:rPr>
        <w:t xml:space="preserve"> Evangelical books and tracts were either brought with the missionaries from the United States or printed at the Mission Press and circulated by the ABCFM missionaries and Syrian ‘Bible and Tract distributors’.</w:t>
      </w:r>
      <w:r w:rsidRPr="00440B9F">
        <w:rPr>
          <w:rFonts w:ascii="Palatino Linotype" w:hAnsi="Palatino Linotype"/>
          <w:sz w:val="22"/>
          <w:szCs w:val="22"/>
          <w:vertAlign w:val="superscript"/>
          <w:lang w:val="en-GB"/>
        </w:rPr>
        <w:footnoteReference w:id="132"/>
      </w:r>
      <w:r w:rsidRPr="00440B9F">
        <w:rPr>
          <w:rFonts w:ascii="Palatino Linotype" w:hAnsi="Palatino Linotype"/>
          <w:sz w:val="22"/>
          <w:szCs w:val="22"/>
          <w:lang w:val="en-GB"/>
        </w:rPr>
        <w:t xml:space="preserve"> Missionary children and Syrian students alike, read the </w:t>
      </w:r>
      <w:r w:rsidRPr="00440B9F">
        <w:rPr>
          <w:rFonts w:ascii="Palatino Linotype" w:hAnsi="Palatino Linotype"/>
          <w:i/>
          <w:sz w:val="22"/>
          <w:szCs w:val="22"/>
          <w:lang w:val="en-GB"/>
        </w:rPr>
        <w:t>Pilgrim’s Progress</w:t>
      </w:r>
      <w:r w:rsidRPr="00440B9F">
        <w:rPr>
          <w:rFonts w:ascii="Palatino Linotype" w:hAnsi="Palatino Linotype"/>
          <w:sz w:val="22"/>
          <w:szCs w:val="22"/>
          <w:lang w:val="en-GB"/>
        </w:rPr>
        <w:t>, ‘Little Henry and his Bearer’ and the ‘Dairyman’s Daughter’.</w:t>
      </w:r>
      <w:r w:rsidRPr="00440B9F">
        <w:rPr>
          <w:rStyle w:val="FootnoteReference"/>
          <w:rFonts w:ascii="Palatino Linotype" w:hAnsi="Palatino Linotype"/>
          <w:sz w:val="22"/>
          <w:szCs w:val="22"/>
          <w:lang w:val="en-GB"/>
        </w:rPr>
        <w:footnoteReference w:id="133"/>
      </w:r>
      <w:r w:rsidRPr="00440B9F">
        <w:rPr>
          <w:rFonts w:ascii="Palatino Linotype" w:hAnsi="Palatino Linotype"/>
          <w:sz w:val="22"/>
          <w:szCs w:val="22"/>
          <w:lang w:val="en-GB"/>
        </w:rPr>
        <w:t xml:space="preserve"> As a result, Melita Carabet ‘traced [her] conversion to the reading of [‘The Blacksmith’s Wife’]’, another of these publications.</w:t>
      </w:r>
      <w:r w:rsidRPr="00440B9F">
        <w:rPr>
          <w:rStyle w:val="FootnoteReference"/>
          <w:rFonts w:ascii="Palatino Linotype" w:hAnsi="Palatino Linotype"/>
          <w:sz w:val="22"/>
          <w:szCs w:val="22"/>
          <w:lang w:val="en-GB"/>
        </w:rPr>
        <w:footnoteReference w:id="134"/>
      </w:r>
      <w:r w:rsidRPr="00440B9F">
        <w:rPr>
          <w:rFonts w:ascii="Palatino Linotype" w:hAnsi="Palatino Linotype"/>
          <w:sz w:val="22"/>
          <w:szCs w:val="22"/>
          <w:lang w:val="en-GB"/>
        </w:rPr>
        <w:t xml:space="preserve"> Knowledge of these works became as important as Scripture, for it was from Evangelical literature that the missionaries and some Syrian Protestants found models of Protestant behaviour as well as the symbolism to describe their own faith journeys.</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Due to the varying levels of literacy rates in Ottoman Syria, it was also argued that knowledge of the Bible could be gained through listening to the Gospel and discussing religious ideas.</w:t>
      </w:r>
      <w:r w:rsidRPr="00440B9F">
        <w:rPr>
          <w:rStyle w:val="FootnoteReference"/>
          <w:rFonts w:ascii="Palatino Linotype" w:hAnsi="Palatino Linotype"/>
          <w:sz w:val="22"/>
          <w:szCs w:val="22"/>
          <w:lang w:val="en-GB"/>
        </w:rPr>
        <w:footnoteReference w:id="135"/>
      </w:r>
      <w:r w:rsidRPr="00440B9F">
        <w:rPr>
          <w:rFonts w:ascii="Palatino Linotype" w:hAnsi="Palatino Linotype"/>
          <w:sz w:val="22"/>
          <w:szCs w:val="22"/>
          <w:lang w:val="en-GB"/>
        </w:rPr>
        <w:t xml:space="preserve"> Congregants at the Arabic Sabbath service </w:t>
      </w:r>
    </w:p>
    <w:p w:rsidR="007F7DD4" w:rsidRDefault="007F7DD4"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read two or three chapters in the New Testament, with brief practical and expository remarks-each individual who can read having a book and reading a verse, in rotation with the liberty, also of asking questions, and making remarks as pleased; this exercise affords a good opportunity for preaching the Gospel in the hearing off 12 to 20 individual, who usually listen with the most respect and attention than formerly characterized at meetings.</w:t>
      </w:r>
      <w:r w:rsidRPr="00440B9F">
        <w:rPr>
          <w:rStyle w:val="FootnoteReference"/>
          <w:rFonts w:ascii="Palatino Linotype" w:hAnsi="Palatino Linotype"/>
          <w:sz w:val="22"/>
          <w:szCs w:val="22"/>
          <w:lang w:val="en-GB"/>
        </w:rPr>
        <w:footnoteReference w:id="136"/>
      </w:r>
      <w:r w:rsidRPr="00440B9F">
        <w:rPr>
          <w:rFonts w:ascii="Palatino Linotype" w:hAnsi="Palatino Linotype"/>
          <w:sz w:val="22"/>
          <w:szCs w:val="22"/>
          <w:lang w:val="en-GB"/>
        </w:rPr>
        <w:t xml:space="preserve"> </w:t>
      </w:r>
    </w:p>
    <w:p w:rsidR="007F7DD4" w:rsidRPr="00440B9F" w:rsidRDefault="007F7DD4" w:rsidP="001761FF">
      <w:pPr>
        <w:pStyle w:val="BodyText"/>
        <w:ind w:left="720" w:right="720"/>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 ability to read or write was not necessary to memorise simple Bible verses, the Lord’s Prayer and passages from Watt’s or the Assembly’s Catechisms, nor to perform the behaviour depicted in Evangelical literature. All of these activities were important expressions of Protestant faith, regardless of the person’s literacy capabilities.</w:t>
      </w:r>
      <w:r w:rsidRPr="00440B9F">
        <w:rPr>
          <w:rStyle w:val="FootnoteReference"/>
          <w:rFonts w:ascii="Palatino Linotype" w:hAnsi="Palatino Linotype"/>
          <w:sz w:val="22"/>
          <w:szCs w:val="22"/>
          <w:lang w:val="en-GB"/>
        </w:rPr>
        <w:footnoteReference w:id="137"/>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Science was another facet of Protestant culture and education.</w:t>
      </w:r>
      <w:r w:rsidRPr="00440B9F">
        <w:rPr>
          <w:rStyle w:val="FootnoteReference"/>
          <w:rFonts w:ascii="Palatino Linotype" w:hAnsi="Palatino Linotype"/>
          <w:sz w:val="22"/>
          <w:szCs w:val="22"/>
          <w:lang w:val="en-GB"/>
        </w:rPr>
        <w:footnoteReference w:id="138"/>
      </w:r>
      <w:r w:rsidRPr="00440B9F">
        <w:rPr>
          <w:rFonts w:ascii="Palatino Linotype" w:hAnsi="Palatino Linotype"/>
          <w:sz w:val="22"/>
          <w:szCs w:val="22"/>
          <w:lang w:val="en-GB"/>
        </w:rPr>
        <w:t xml:space="preserve"> The Protestants’ specific definition of science reflected the liberal arts education possessed by both male and female ABCFM missionaries.</w:t>
      </w:r>
      <w:r w:rsidRPr="00440B9F">
        <w:rPr>
          <w:rStyle w:val="FootnoteReference"/>
          <w:rFonts w:ascii="Palatino Linotype" w:hAnsi="Palatino Linotype"/>
          <w:sz w:val="22"/>
          <w:szCs w:val="22"/>
          <w:lang w:val="en-GB"/>
        </w:rPr>
        <w:footnoteReference w:id="139"/>
      </w:r>
      <w:r w:rsidRPr="00440B9F">
        <w:rPr>
          <w:rFonts w:ascii="Palatino Linotype" w:hAnsi="Palatino Linotype"/>
          <w:sz w:val="22"/>
          <w:szCs w:val="22"/>
          <w:lang w:val="en-GB"/>
        </w:rPr>
        <w:t xml:space="preserve"> Grounded upon the theories of the Scottish Common Sense philosophers and the English Isaac Watts, the Protestants’ believed that it was only after gathering scientific facts (which included the Bible as a primary source) that proper judgments and opinions could be formatted.</w:t>
      </w:r>
      <w:r w:rsidRPr="00440B9F">
        <w:rPr>
          <w:rStyle w:val="FootnoteReference"/>
          <w:rFonts w:ascii="Palatino Linotype" w:hAnsi="Palatino Linotype"/>
          <w:sz w:val="22"/>
          <w:szCs w:val="22"/>
          <w:lang w:val="en-GB"/>
        </w:rPr>
        <w:footnoteReference w:id="140"/>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ABCFM missionaries who were certified medical doctors regulated the scientific knowledge advocated by the Protestant Circle.</w:t>
      </w:r>
      <w:r w:rsidRPr="00440B9F">
        <w:rPr>
          <w:rStyle w:val="FootnoteReference"/>
          <w:rFonts w:ascii="Palatino Linotype" w:hAnsi="Palatino Linotype"/>
          <w:sz w:val="22"/>
          <w:szCs w:val="22"/>
          <w:lang w:val="en-GB"/>
        </w:rPr>
        <w:footnoteReference w:id="141"/>
      </w:r>
      <w:r w:rsidRPr="00440B9F">
        <w:rPr>
          <w:rFonts w:ascii="Palatino Linotype" w:hAnsi="Palatino Linotype"/>
          <w:sz w:val="22"/>
          <w:szCs w:val="22"/>
          <w:lang w:val="en-GB"/>
        </w:rPr>
        <w:t xml:space="preserve"> These doctors, including Asa Dodge, Henry DeForest and Cornelius Van Dyck, demonstrated their scientific qualifications through recognising and treating the various ailments that plagued patients in Syria.</w:t>
      </w:r>
      <w:r w:rsidRPr="00440B9F">
        <w:rPr>
          <w:rStyle w:val="FootnoteReference"/>
          <w:rFonts w:ascii="Palatino Linotype" w:hAnsi="Palatino Linotype"/>
          <w:sz w:val="22"/>
          <w:szCs w:val="22"/>
          <w:lang w:val="en-GB"/>
        </w:rPr>
        <w:footnoteReference w:id="142"/>
      </w:r>
      <w:r w:rsidRPr="00440B9F">
        <w:rPr>
          <w:rFonts w:ascii="Palatino Linotype" w:hAnsi="Palatino Linotype"/>
          <w:sz w:val="22"/>
          <w:szCs w:val="22"/>
          <w:lang w:val="en-GB"/>
        </w:rPr>
        <w:t xml:space="preserve"> Missionary doctors were also important in transferring medical knowledge to Syrian students. For example, Dr. Van Dyck and Dr. DeForest were credited with training John Wortabet, who earned an honorary doctorate of medicine from Yale College in 1853 and became the senior lecturer of medicine at the SPC when this department opened in 1867.</w:t>
      </w:r>
      <w:r w:rsidRPr="00440B9F">
        <w:rPr>
          <w:rStyle w:val="FootnoteReference"/>
          <w:rFonts w:ascii="Palatino Linotype" w:hAnsi="Palatino Linotype"/>
          <w:sz w:val="22"/>
          <w:szCs w:val="22"/>
          <w:lang w:val="en-GB"/>
        </w:rPr>
        <w:footnoteReference w:id="143"/>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the ABCFM missionary doctors exemplified scientific knowledge within the Protestant Circle, other medical missionaries worked in Ottoman Syria and were perceived by the Protestants as possessing a commendable understanding of science. The Protestants’ approved the medical services provided by the French doctors and nuns at the Sisters of Charity hospital (f. 1847) as well as the doctors at the orphanage, boarding house and hospital complex run by the Prussian Knights of St. John (f. 1860).</w:t>
      </w:r>
      <w:r w:rsidRPr="00440B9F">
        <w:rPr>
          <w:rStyle w:val="FootnoteReference"/>
          <w:rFonts w:ascii="Palatino Linotype" w:hAnsi="Palatino Linotype"/>
          <w:sz w:val="22"/>
          <w:szCs w:val="22"/>
          <w:lang w:val="en-GB"/>
        </w:rPr>
        <w:footnoteReference w:id="144"/>
      </w:r>
      <w:r w:rsidRPr="00440B9F">
        <w:rPr>
          <w:rFonts w:ascii="Palatino Linotype" w:hAnsi="Palatino Linotype"/>
          <w:sz w:val="22"/>
          <w:szCs w:val="22"/>
          <w:lang w:val="en-GB"/>
        </w:rPr>
        <w:t xml:space="preserve"> While the acceptance of the Prussians was not exceptional (for they were also Protestants), the Circle’s affirmation of the French doctors contrasted their normal hostility against Roman Catholic culture and mission work.</w:t>
      </w:r>
      <w:r w:rsidRPr="00440B9F">
        <w:rPr>
          <w:rStyle w:val="FootnoteReference"/>
          <w:rFonts w:ascii="Palatino Linotype" w:hAnsi="Palatino Linotype"/>
          <w:sz w:val="22"/>
          <w:szCs w:val="22"/>
          <w:lang w:val="en-GB"/>
        </w:rPr>
        <w:footnoteReference w:id="145"/>
      </w:r>
      <w:r w:rsidRPr="00440B9F">
        <w:rPr>
          <w:rFonts w:ascii="Palatino Linotype" w:hAnsi="Palatino Linotype"/>
          <w:sz w:val="22"/>
          <w:szCs w:val="22"/>
          <w:lang w:val="en-GB"/>
        </w:rPr>
        <w:t xml:space="preserve"> This illuminates the Protestants’ view that religious differences could be dissolved (or at least appeased) through the pursuit of science and education.</w:t>
      </w:r>
      <w:r w:rsidRPr="00440B9F">
        <w:rPr>
          <w:rStyle w:val="FootnoteReference"/>
          <w:rFonts w:ascii="Palatino Linotype" w:hAnsi="Palatino Linotype"/>
          <w:sz w:val="22"/>
          <w:szCs w:val="22"/>
          <w:lang w:val="en-GB"/>
        </w:rPr>
        <w:footnoteReference w:id="146"/>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Medical missionaries were not the only doctors operating in Ottoman Syria during the early to mid-nineteenth century. A number of medical schools were established by the Ottoman government during the early nineteenth century in an effort to create a body of medical experts amongst its subjects. After 1839, these schools were opened to non-Muslim students and began issuing certificates of training.</w:t>
      </w:r>
      <w:r w:rsidRPr="00440B9F">
        <w:rPr>
          <w:rStyle w:val="FootnoteReference"/>
          <w:rFonts w:ascii="Palatino Linotype" w:hAnsi="Palatino Linotype"/>
          <w:sz w:val="22"/>
          <w:szCs w:val="22"/>
          <w:lang w:val="en-GB"/>
        </w:rPr>
        <w:footnoteReference w:id="147"/>
      </w:r>
      <w:r w:rsidRPr="00440B9F">
        <w:rPr>
          <w:rFonts w:ascii="Palatino Linotype" w:hAnsi="Palatino Linotype"/>
          <w:sz w:val="22"/>
          <w:szCs w:val="22"/>
          <w:lang w:val="en-GB"/>
        </w:rPr>
        <w:t xml:space="preserve"> ‘Modern’ medical schools were also established by Muhammed Ali in Egypt. Emir Bashir Shihab II sent a number of Syrians to Egypt for medical training, although the ABCFM missionaries questioned the qualifications of these Syrian doctors upon their return.</w:t>
      </w:r>
      <w:r w:rsidRPr="00440B9F">
        <w:rPr>
          <w:rStyle w:val="FootnoteReference"/>
          <w:rFonts w:ascii="Palatino Linotype" w:hAnsi="Palatino Linotype"/>
          <w:sz w:val="22"/>
          <w:szCs w:val="22"/>
          <w:lang w:val="en-GB"/>
        </w:rPr>
        <w:footnoteReference w:id="148"/>
      </w:r>
      <w:r w:rsidRPr="00440B9F">
        <w:rPr>
          <w:rFonts w:ascii="Palatino Linotype" w:hAnsi="Palatino Linotype"/>
          <w:sz w:val="22"/>
          <w:szCs w:val="22"/>
          <w:lang w:val="en-GB"/>
        </w:rPr>
        <w:t xml:space="preserve"> Others, like Mikhayil Mishaqa, were educated by French doctors working for the Egyptian army during Muhammed Ali’s occupation of Syria.</w:t>
      </w:r>
      <w:r w:rsidRPr="00440B9F">
        <w:rPr>
          <w:rFonts w:ascii="Palatino Linotype" w:hAnsi="Palatino Linotype"/>
          <w:sz w:val="22"/>
          <w:szCs w:val="22"/>
          <w:vertAlign w:val="superscript"/>
          <w:lang w:val="en-GB"/>
        </w:rPr>
        <w:footnoteReference w:id="149"/>
      </w:r>
      <w:r w:rsidRPr="00440B9F">
        <w:rPr>
          <w:rFonts w:ascii="Palatino Linotype" w:hAnsi="Palatino Linotype"/>
          <w:sz w:val="22"/>
          <w:szCs w:val="22"/>
          <w:lang w:val="en-GB"/>
        </w:rPr>
        <w:t xml:space="preserve"> It is important to emphasis that, with the exception of Mikhayil Mishaqa, who later converted to Protestantism, the medical knowledge held by Ottoman doctors was relegated by the ABCFM missionaries to an inferior rank when compared to the knowledge held by American and European medical missionaries.</w:t>
      </w:r>
      <w:r w:rsidRPr="00440B9F">
        <w:rPr>
          <w:rStyle w:val="FootnoteReference"/>
          <w:rFonts w:ascii="Palatino Linotype" w:hAnsi="Palatino Linotype"/>
          <w:sz w:val="22"/>
          <w:szCs w:val="22"/>
          <w:lang w:val="en-GB"/>
        </w:rPr>
        <w:footnoteReference w:id="150"/>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Despite the increased number of certified doctors in the region, numerous uncertified doctors continued to treat Syrian patients. These included ‘traditional’ </w:t>
      </w:r>
      <w:r w:rsidRPr="00440B9F">
        <w:rPr>
          <w:rFonts w:ascii="Palatino Linotype" w:hAnsi="Palatino Linotype"/>
          <w:i/>
          <w:sz w:val="22"/>
          <w:szCs w:val="22"/>
          <w:lang w:val="en-GB"/>
        </w:rPr>
        <w:t>hakeems</w:t>
      </w:r>
      <w:r w:rsidRPr="00440B9F">
        <w:rPr>
          <w:rFonts w:ascii="Palatino Linotype" w:hAnsi="Palatino Linotype"/>
          <w:sz w:val="22"/>
          <w:szCs w:val="22"/>
          <w:lang w:val="en-GB"/>
        </w:rPr>
        <w:t xml:space="preserve">, midwives, monks in convents and the often dubiously-certified ‘Frank </w:t>
      </w:r>
      <w:r w:rsidRPr="00440B9F">
        <w:rPr>
          <w:rFonts w:ascii="Palatino Linotype" w:hAnsi="Palatino Linotype"/>
          <w:i/>
          <w:sz w:val="22"/>
          <w:szCs w:val="22"/>
          <w:lang w:val="en-GB"/>
        </w:rPr>
        <w:t>hakeems</w:t>
      </w:r>
      <w:r w:rsidRPr="00440B9F">
        <w:rPr>
          <w:rFonts w:ascii="Palatino Linotype" w:hAnsi="Palatino Linotype"/>
          <w:sz w:val="22"/>
          <w:szCs w:val="22"/>
          <w:lang w:val="en-GB"/>
        </w:rPr>
        <w:t>’.</w:t>
      </w:r>
      <w:r w:rsidRPr="00440B9F">
        <w:rPr>
          <w:rStyle w:val="FootnoteReference"/>
          <w:rFonts w:ascii="Palatino Linotype" w:hAnsi="Palatino Linotype"/>
          <w:sz w:val="22"/>
          <w:szCs w:val="22"/>
          <w:lang w:val="en-GB"/>
        </w:rPr>
        <w:footnoteReference w:id="151"/>
      </w:r>
      <w:r w:rsidRPr="00440B9F">
        <w:rPr>
          <w:rFonts w:ascii="Palatino Linotype" w:hAnsi="Palatino Linotype"/>
          <w:sz w:val="22"/>
          <w:szCs w:val="22"/>
          <w:lang w:val="en-GB"/>
        </w:rPr>
        <w:t xml:space="preserve"> In 1849, Cornelius Van Dyck wrote an article, ‘On the Present Condition of the Medical Profession in Syria’ for the secular </w:t>
      </w:r>
      <w:r w:rsidRPr="00440B9F">
        <w:rPr>
          <w:rFonts w:ascii="Palatino Linotype" w:hAnsi="Palatino Linotype"/>
          <w:i/>
          <w:sz w:val="22"/>
          <w:szCs w:val="22"/>
          <w:lang w:val="en-GB"/>
        </w:rPr>
        <w:t>Journal of the American Oriental Society</w:t>
      </w:r>
      <w:r w:rsidRPr="00440B9F">
        <w:rPr>
          <w:rFonts w:ascii="Palatino Linotype" w:hAnsi="Palatino Linotype"/>
          <w:sz w:val="22"/>
          <w:szCs w:val="22"/>
          <w:lang w:val="en-GB"/>
        </w:rPr>
        <w:t>, where he contrasted the knowledge held by these doctors to the scientific standards developing in the United States.</w:t>
      </w:r>
      <w:r w:rsidRPr="00440B9F">
        <w:rPr>
          <w:rStyle w:val="FootnoteReference"/>
          <w:rFonts w:ascii="Palatino Linotype" w:hAnsi="Palatino Linotype"/>
          <w:sz w:val="22"/>
          <w:szCs w:val="22"/>
          <w:lang w:val="en-GB"/>
        </w:rPr>
        <w:footnoteReference w:id="152"/>
      </w:r>
      <w:r w:rsidRPr="00440B9F">
        <w:rPr>
          <w:rFonts w:ascii="Palatino Linotype" w:hAnsi="Palatino Linotype"/>
          <w:sz w:val="22"/>
          <w:szCs w:val="22"/>
          <w:lang w:val="en-GB"/>
        </w:rPr>
        <w:t xml:space="preserve"> He argued that ‘[although] the means of acquiring an adequate knowledge of modern medical sciences are altogether wanting in Syria…this does not prevent any individual, high or low, rich or poor, learned or unlearned, from setting up as a practioner at any moment’.</w:t>
      </w:r>
      <w:r w:rsidRPr="00440B9F">
        <w:rPr>
          <w:rStyle w:val="FootnoteReference"/>
          <w:rFonts w:ascii="Palatino Linotype" w:hAnsi="Palatino Linotype"/>
          <w:sz w:val="22"/>
          <w:szCs w:val="22"/>
          <w:lang w:val="en-GB"/>
        </w:rPr>
        <w:footnoteReference w:id="153"/>
      </w:r>
      <w:r w:rsidRPr="00440B9F">
        <w:rPr>
          <w:rFonts w:ascii="Palatino Linotype" w:hAnsi="Palatino Linotype"/>
          <w:sz w:val="22"/>
          <w:szCs w:val="22"/>
          <w:lang w:val="en-GB"/>
        </w:rPr>
        <w:t xml:space="preserve"> The ABCFM missionaries concluded that the medical knowledge held by uncertified ‘doctors’ was invalid and potentially dangerous, for as Dr. Van Dyck reflected, ‘the patient [of these doctors either] dies, or gets well in spite of the efforts of his physician to kill him.’</w:t>
      </w:r>
      <w:r w:rsidRPr="00440B9F">
        <w:rPr>
          <w:rStyle w:val="FootnoteReference"/>
          <w:rFonts w:ascii="Palatino Linotype" w:hAnsi="Palatino Linotype"/>
          <w:sz w:val="22"/>
          <w:szCs w:val="22"/>
          <w:lang w:val="en-GB"/>
        </w:rPr>
        <w:footnoteReference w:id="154"/>
      </w:r>
      <w:r w:rsidRPr="00440B9F">
        <w:rPr>
          <w:rFonts w:ascii="Palatino Linotype" w:hAnsi="Palatino Linotype"/>
          <w:sz w:val="22"/>
          <w:szCs w:val="22"/>
          <w:lang w:val="en-GB"/>
        </w:rPr>
        <w:t xml:space="preserve"> Nonetheless, such ‘doctors’ continued to treat patients, thus challenging the attempts of the ABCFM (and Ottoman officials) to regulate medical knowledge in the region.</w:t>
      </w:r>
      <w:r w:rsidRPr="00440B9F">
        <w:rPr>
          <w:rStyle w:val="FootnoteReference"/>
          <w:rFonts w:ascii="Palatino Linotype" w:hAnsi="Palatino Linotype"/>
          <w:sz w:val="22"/>
          <w:szCs w:val="22"/>
          <w:lang w:val="en-GB"/>
        </w:rPr>
        <w:footnoteReference w:id="155"/>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certificates of medicine were not offered by the Protestants during this period,</w:t>
      </w:r>
      <w:r w:rsidRPr="00440B9F">
        <w:rPr>
          <w:rStyle w:val="FootnoteReference"/>
          <w:rFonts w:ascii="Palatino Linotype" w:hAnsi="Palatino Linotype"/>
          <w:sz w:val="22"/>
          <w:szCs w:val="22"/>
          <w:lang w:val="en-GB"/>
        </w:rPr>
        <w:footnoteReference w:id="156"/>
      </w:r>
      <w:r w:rsidRPr="00440B9F">
        <w:rPr>
          <w:rFonts w:ascii="Palatino Linotype" w:hAnsi="Palatino Linotype"/>
          <w:sz w:val="22"/>
          <w:szCs w:val="22"/>
          <w:lang w:val="en-GB"/>
        </w:rPr>
        <w:t xml:space="preserve"> general sciences were taught at Protestant schools.</w:t>
      </w:r>
      <w:r w:rsidRPr="00440B9F">
        <w:rPr>
          <w:rStyle w:val="FootnoteReference"/>
          <w:rFonts w:ascii="Palatino Linotype" w:hAnsi="Palatino Linotype"/>
          <w:sz w:val="22"/>
          <w:szCs w:val="22"/>
          <w:lang w:val="en-GB"/>
        </w:rPr>
        <w:footnoteReference w:id="157"/>
      </w:r>
      <w:r w:rsidRPr="00440B9F">
        <w:rPr>
          <w:rFonts w:ascii="Palatino Linotype" w:hAnsi="Palatino Linotype"/>
          <w:sz w:val="22"/>
          <w:szCs w:val="22"/>
          <w:lang w:val="en-GB"/>
        </w:rPr>
        <w:t xml:space="preserve"> Students studied ‘natural philosophy or chemistry’,</w:t>
      </w:r>
      <w:r w:rsidRPr="00440B9F">
        <w:rPr>
          <w:rStyle w:val="FootnoteReference"/>
          <w:rFonts w:ascii="Palatino Linotype" w:hAnsi="Palatino Linotype"/>
          <w:sz w:val="22"/>
          <w:szCs w:val="22"/>
          <w:lang w:val="en-GB"/>
        </w:rPr>
        <w:footnoteReference w:id="158"/>
      </w:r>
      <w:r w:rsidRPr="00440B9F">
        <w:rPr>
          <w:rFonts w:ascii="Palatino Linotype" w:hAnsi="Palatino Linotype"/>
          <w:sz w:val="22"/>
          <w:szCs w:val="22"/>
          <w:lang w:val="en-GB"/>
        </w:rPr>
        <w:t xml:space="preserve"> and explored scientific apparatus, such as the camera obscura.</w:t>
      </w:r>
      <w:r w:rsidRPr="00440B9F">
        <w:rPr>
          <w:rStyle w:val="FootnoteReference"/>
          <w:rFonts w:ascii="Palatino Linotype" w:hAnsi="Palatino Linotype"/>
          <w:sz w:val="22"/>
          <w:szCs w:val="22"/>
          <w:lang w:val="en-GB"/>
        </w:rPr>
        <w:footnoteReference w:id="159"/>
      </w:r>
      <w:r w:rsidRPr="00440B9F">
        <w:rPr>
          <w:rFonts w:ascii="Palatino Linotype" w:hAnsi="Palatino Linotype"/>
          <w:sz w:val="22"/>
          <w:szCs w:val="22"/>
          <w:lang w:val="en-GB"/>
        </w:rPr>
        <w:t xml:space="preserve"> The ABCFM missionaries, both doctors and preachers, investigated the physical climate and geological history of Syria through recording temperatures, collecting fossils and illustrating the flora and fauna of the region.</w:t>
      </w:r>
      <w:r w:rsidRPr="00440B9F">
        <w:rPr>
          <w:rStyle w:val="FootnoteReference"/>
          <w:rFonts w:ascii="Palatino Linotype" w:hAnsi="Palatino Linotype"/>
          <w:sz w:val="22"/>
          <w:szCs w:val="22"/>
          <w:lang w:val="en-GB"/>
        </w:rPr>
        <w:footnoteReference w:id="160"/>
      </w:r>
      <w:r w:rsidRPr="00440B9F">
        <w:rPr>
          <w:rFonts w:ascii="Palatino Linotype" w:hAnsi="Palatino Linotype"/>
          <w:sz w:val="22"/>
          <w:szCs w:val="22"/>
          <w:lang w:val="en-GB"/>
        </w:rPr>
        <w:t xml:space="preserve"> The missionaries shared their findings through sending artefacts to the United States and publishing articles in scholastic journals.</w:t>
      </w:r>
      <w:r w:rsidRPr="00440B9F">
        <w:rPr>
          <w:rStyle w:val="FootnoteReference"/>
          <w:rFonts w:ascii="Palatino Linotype" w:hAnsi="Palatino Linotype"/>
          <w:sz w:val="22"/>
          <w:szCs w:val="22"/>
          <w:lang w:val="en-GB"/>
        </w:rPr>
        <w:footnoteReference w:id="161"/>
      </w:r>
      <w:r w:rsidRPr="00440B9F">
        <w:rPr>
          <w:rFonts w:ascii="Palatino Linotype" w:hAnsi="Palatino Linotype"/>
          <w:sz w:val="22"/>
          <w:szCs w:val="22"/>
          <w:lang w:val="en-GB"/>
        </w:rPr>
        <w:t xml:space="preserve"> Due to these displays of scientific knowledge, the Protestants who were not trained as medical doctors were sought after for medical treatment and advice by their Syrian neighbours. Although the Protestants recognised their limitations in dispensing medicine (which also undermined their own criticisms of uncertified doctors) these exchanges were regarded by the ABCFM missionaries as a positive branch of evangelical activities.</w:t>
      </w:r>
      <w:r w:rsidRPr="00440B9F">
        <w:rPr>
          <w:rFonts w:ascii="Palatino Linotype" w:hAnsi="Palatino Linotype"/>
          <w:sz w:val="22"/>
          <w:szCs w:val="22"/>
          <w:vertAlign w:val="superscript"/>
          <w:lang w:val="en-GB"/>
        </w:rPr>
        <w:footnoteReference w:id="162"/>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One of the most important expression of the Protestants’ culture and views of science was the formation of </w:t>
      </w:r>
      <w:r w:rsidRPr="00440B9F">
        <w:rPr>
          <w:rFonts w:ascii="Palatino Linotype" w:hAnsi="Palatino Linotype"/>
          <w:bCs/>
          <w:i/>
          <w:sz w:val="22"/>
          <w:szCs w:val="22"/>
          <w:lang w:val="en-GB"/>
        </w:rPr>
        <w:t>al-Jam‛iyya al-Sūriyya li-Iktisāb al-‛Ulūm wa al-Funūn</w:t>
      </w:r>
      <w:r w:rsidRPr="00440B9F">
        <w:rPr>
          <w:rFonts w:ascii="Palatino Linotype" w:hAnsi="Palatino Linotype"/>
          <w:b/>
          <w:bCs/>
          <w:i/>
          <w:sz w:val="22"/>
          <w:szCs w:val="22"/>
          <w:lang w:val="en-GB"/>
        </w:rPr>
        <w:t xml:space="preserve"> </w:t>
      </w:r>
      <w:r w:rsidRPr="00440B9F">
        <w:rPr>
          <w:rFonts w:ascii="Palatino Linotype" w:hAnsi="Palatino Linotype"/>
          <w:sz w:val="22"/>
          <w:szCs w:val="22"/>
          <w:lang w:val="en-GB"/>
        </w:rPr>
        <w:t>in 1847.</w:t>
      </w:r>
      <w:r w:rsidRPr="00440B9F">
        <w:rPr>
          <w:rFonts w:ascii="Palatino Linotype" w:hAnsi="Palatino Linotype"/>
          <w:sz w:val="22"/>
          <w:szCs w:val="22"/>
          <w:vertAlign w:val="superscript"/>
          <w:lang w:val="en-GB"/>
        </w:rPr>
        <w:footnoteReference w:id="163"/>
      </w:r>
      <w:r w:rsidRPr="00440B9F">
        <w:rPr>
          <w:rFonts w:ascii="Palatino Linotype" w:hAnsi="Palatino Linotype"/>
          <w:sz w:val="22"/>
          <w:szCs w:val="22"/>
          <w:lang w:val="en-GB"/>
        </w:rPr>
        <w:t xml:space="preserve"> Members of this salon included the elite men of the Protestant Circle, both ABCFM missionaries and Syrian Protestants, as well as other residents of the region.</w:t>
      </w:r>
      <w:r w:rsidRPr="00440B9F">
        <w:rPr>
          <w:rStyle w:val="FootnoteReference"/>
          <w:rFonts w:ascii="Palatino Linotype" w:hAnsi="Palatino Linotype"/>
          <w:sz w:val="22"/>
          <w:szCs w:val="22"/>
          <w:lang w:val="en-GB"/>
        </w:rPr>
        <w:footnoteReference w:id="164"/>
      </w:r>
      <w:r w:rsidRPr="00440B9F">
        <w:rPr>
          <w:rFonts w:ascii="Palatino Linotype" w:hAnsi="Palatino Linotype"/>
          <w:sz w:val="22"/>
          <w:szCs w:val="22"/>
          <w:lang w:val="en-GB"/>
        </w:rPr>
        <w:t xml:space="preserve"> The aims of this group were to acquire a knowledge of sciences and arts ‘by means of mutual communication, tracts, discourse, and reports’ and collect ‘books, and papers’ that would awaken ‘a general desire for the acquisition of sciences and arts, irrespective of disputed questions relative to religious rites and doctrines, with which this Society does not concern itself’.</w:t>
      </w:r>
      <w:r w:rsidRPr="00440B9F">
        <w:rPr>
          <w:rStyle w:val="FootnoteReference"/>
          <w:rFonts w:ascii="Palatino Linotype" w:hAnsi="Palatino Linotype"/>
          <w:sz w:val="22"/>
          <w:szCs w:val="22"/>
          <w:lang w:val="en-GB"/>
        </w:rPr>
        <w:footnoteReference w:id="165"/>
      </w:r>
      <w:r w:rsidRPr="00440B9F">
        <w:rPr>
          <w:rFonts w:ascii="Palatino Linotype" w:hAnsi="Palatino Linotype"/>
          <w:sz w:val="22"/>
          <w:szCs w:val="22"/>
          <w:lang w:val="en-GB"/>
        </w:rPr>
        <w:t xml:space="preserve"> In addition to private monthly discussions and book exchanges, the Society held public lectures (it is unclear if women were invited as audience members) and published its reports.</w:t>
      </w:r>
      <w:r w:rsidRPr="00440B9F">
        <w:rPr>
          <w:rStyle w:val="FootnoteReference"/>
          <w:rFonts w:ascii="Palatino Linotype" w:hAnsi="Palatino Linotype"/>
          <w:sz w:val="22"/>
          <w:szCs w:val="22"/>
          <w:lang w:val="en-GB"/>
        </w:rPr>
        <w:footnoteReference w:id="166"/>
      </w:r>
      <w:r w:rsidRPr="00440B9F">
        <w:rPr>
          <w:rFonts w:ascii="Palatino Linotype" w:hAnsi="Palatino Linotype"/>
          <w:sz w:val="22"/>
          <w:szCs w:val="22"/>
          <w:lang w:val="en-GB"/>
        </w:rPr>
        <w:t xml:space="preserve"> This society emphasised the Protestants’ belief in the ecumenical nature of science, for men from all faiths were invited to participate while efforts were made not to criticise different religious opinions.</w:t>
      </w:r>
      <w:r w:rsidRPr="00440B9F">
        <w:rPr>
          <w:rStyle w:val="FootnoteReference"/>
          <w:rFonts w:ascii="Palatino Linotype" w:hAnsi="Palatino Linotype"/>
          <w:sz w:val="22"/>
          <w:szCs w:val="22"/>
          <w:lang w:val="en-GB"/>
        </w:rPr>
        <w:footnoteReference w:id="167"/>
      </w:r>
      <w:r w:rsidRPr="00440B9F">
        <w:rPr>
          <w:rFonts w:ascii="Palatino Linotype" w:hAnsi="Palatino Linotype"/>
          <w:sz w:val="22"/>
          <w:szCs w:val="22"/>
          <w:lang w:val="en-GB"/>
        </w:rPr>
        <w:t xml:space="preserve"> Due to the large representation of Protestants in this society however, its activities were popularly linked to the Protestant Circle.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Protestants’ specific interpretation of science also affected their daily activities. The Protestants’ definition of good health not only supported their suburban location, but resulted in their modifications of their houses. For example, windows were cut into walls to ensure the circulation of air, the ventilation of smoke and to decrease internal dampness.</w:t>
      </w:r>
      <w:r w:rsidRPr="00440B9F">
        <w:rPr>
          <w:rStyle w:val="FootnoteReference"/>
          <w:rFonts w:ascii="Palatino Linotype" w:hAnsi="Palatino Linotype"/>
          <w:sz w:val="22"/>
          <w:szCs w:val="22"/>
          <w:lang w:val="en-GB"/>
        </w:rPr>
        <w:footnoteReference w:id="168"/>
      </w:r>
      <w:r w:rsidRPr="00440B9F">
        <w:rPr>
          <w:rFonts w:ascii="Palatino Linotype" w:hAnsi="Palatino Linotype"/>
          <w:sz w:val="22"/>
          <w:szCs w:val="22"/>
          <w:lang w:val="en-GB"/>
        </w:rPr>
        <w:t xml:space="preserve"> The Protestants also applied ‘scientific reasoning’ when considering food and clothing choices. Some foods, like ‘Arab’ butter, were cautiously consumed or avoided altogether, for they were perceived to be dirty and the cause of illness.</w:t>
      </w:r>
      <w:r w:rsidRPr="00440B9F">
        <w:rPr>
          <w:rStyle w:val="FootnoteReference"/>
          <w:rFonts w:ascii="Palatino Linotype" w:hAnsi="Palatino Linotype"/>
          <w:sz w:val="22"/>
          <w:szCs w:val="22"/>
          <w:lang w:val="en-GB"/>
        </w:rPr>
        <w:footnoteReference w:id="169"/>
      </w:r>
      <w:r w:rsidRPr="00440B9F">
        <w:rPr>
          <w:rFonts w:ascii="Palatino Linotype" w:hAnsi="Palatino Linotype"/>
          <w:sz w:val="22"/>
          <w:szCs w:val="22"/>
          <w:lang w:val="en-GB"/>
        </w:rPr>
        <w:t xml:space="preserve"> Likewise, the missionaries declined to take off their shoes while visiting Syrian households, for they argued: ‘as it was not our custom, we should endanger our health’ if they did so.</w:t>
      </w:r>
      <w:r w:rsidRPr="00440B9F">
        <w:rPr>
          <w:rStyle w:val="FootnoteReference"/>
          <w:rFonts w:ascii="Palatino Linotype" w:hAnsi="Palatino Linotype"/>
          <w:sz w:val="22"/>
          <w:szCs w:val="22"/>
          <w:lang w:val="en-GB"/>
        </w:rPr>
        <w:footnoteReference w:id="170"/>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American customs were often regarded as the ‘healthy option’ in these decisions, the Protestants’ application of science allowed them to occasionally breach this American standard.</w:t>
      </w:r>
      <w:r w:rsidRPr="00440B9F">
        <w:rPr>
          <w:rStyle w:val="FootnoteReference"/>
          <w:rFonts w:ascii="Palatino Linotype" w:hAnsi="Palatino Linotype"/>
          <w:sz w:val="22"/>
          <w:szCs w:val="22"/>
          <w:lang w:val="en-GB"/>
        </w:rPr>
        <w:footnoteReference w:id="171"/>
      </w:r>
      <w:r w:rsidRPr="00440B9F">
        <w:rPr>
          <w:rFonts w:ascii="Palatino Linotype" w:hAnsi="Palatino Linotype"/>
          <w:sz w:val="22"/>
          <w:szCs w:val="22"/>
          <w:lang w:val="en-GB"/>
        </w:rPr>
        <w:t xml:space="preserve"> Although they avoided ‘dirty foods’, the ABCFM missionaries consumed other regional items, such as carob molasses (</w:t>
      </w:r>
      <w:r w:rsidRPr="00440B9F">
        <w:rPr>
          <w:rFonts w:ascii="Palatino Linotype" w:hAnsi="Palatino Linotype"/>
          <w:i/>
          <w:sz w:val="22"/>
          <w:szCs w:val="22"/>
          <w:lang w:val="en-GB"/>
        </w:rPr>
        <w:t>dibs</w:t>
      </w:r>
      <w:r w:rsidRPr="00440B9F">
        <w:rPr>
          <w:rFonts w:ascii="Palatino Linotype" w:hAnsi="Palatino Linotype"/>
          <w:sz w:val="22"/>
          <w:szCs w:val="22"/>
          <w:lang w:val="en-GB"/>
        </w:rPr>
        <w:t xml:space="preserve">), sweetmeats, </w:t>
      </w:r>
      <w:r w:rsidRPr="00440B9F">
        <w:rPr>
          <w:rFonts w:ascii="Palatino Linotype" w:hAnsi="Palatino Linotype"/>
          <w:bCs/>
          <w:i/>
          <w:sz w:val="22"/>
          <w:szCs w:val="22"/>
          <w:lang w:val="en-GB"/>
        </w:rPr>
        <w:t>labneh</w:t>
      </w:r>
      <w:r w:rsidRPr="00440B9F">
        <w:rPr>
          <w:rFonts w:ascii="Palatino Linotype" w:hAnsi="Palatino Linotype"/>
          <w:sz w:val="22"/>
          <w:szCs w:val="22"/>
          <w:lang w:val="en-GB"/>
        </w:rPr>
        <w:t xml:space="preserve"> and stuffed vine leaves. Speaking of ‘tufuddal’, which may have been </w:t>
      </w:r>
      <w:r w:rsidRPr="00440B9F">
        <w:rPr>
          <w:rFonts w:ascii="Palatino Linotype" w:hAnsi="Palatino Linotype"/>
          <w:bCs/>
          <w:i/>
          <w:sz w:val="22"/>
          <w:szCs w:val="22"/>
          <w:lang w:val="en-GB"/>
        </w:rPr>
        <w:t>fooliyyah</w:t>
      </w:r>
      <w:r w:rsidRPr="00440B9F">
        <w:rPr>
          <w:rFonts w:ascii="Palatino Linotype" w:hAnsi="Palatino Linotype"/>
          <w:sz w:val="22"/>
          <w:szCs w:val="22"/>
          <w:lang w:val="en-GB"/>
        </w:rPr>
        <w:t xml:space="preserve">, William Thomson wrote that ‘our Frank children born in this country are extraordinarily fond of this </w:t>
      </w:r>
      <w:r w:rsidRPr="00440B9F">
        <w:rPr>
          <w:rFonts w:ascii="Palatino Linotype" w:hAnsi="Palatino Linotype"/>
          <w:i/>
          <w:sz w:val="22"/>
          <w:szCs w:val="22"/>
          <w:lang w:val="en-GB"/>
        </w:rPr>
        <w:t>adis</w:t>
      </w:r>
      <w:r w:rsidRPr="00440B9F">
        <w:rPr>
          <w:rFonts w:ascii="Palatino Linotype" w:hAnsi="Palatino Linotype"/>
          <w:sz w:val="22"/>
          <w:szCs w:val="22"/>
          <w:lang w:val="en-GB"/>
        </w:rPr>
        <w:t xml:space="preserve"> [lentil] pottage.’</w:t>
      </w:r>
      <w:r w:rsidRPr="00440B9F">
        <w:rPr>
          <w:rStyle w:val="FootnoteReference"/>
          <w:rFonts w:ascii="Palatino Linotype" w:hAnsi="Palatino Linotype"/>
          <w:sz w:val="22"/>
          <w:szCs w:val="22"/>
          <w:lang w:val="en-GB"/>
        </w:rPr>
        <w:footnoteReference w:id="172"/>
      </w:r>
      <w:r w:rsidRPr="00440B9F">
        <w:rPr>
          <w:rFonts w:ascii="Palatino Linotype" w:hAnsi="Palatino Linotype"/>
          <w:sz w:val="22"/>
          <w:szCs w:val="22"/>
          <w:lang w:val="en-GB"/>
        </w:rPr>
        <w:t xml:space="preserve"> Subsequent chapters will examine how the knowledge of cooking was acquired (or not) by women within the Protestant Circle, as part of this negotiation process and demonstration of education.</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However, the acquisition of education problematised the culture asserted by some Protestants. The ABCFM’s Prudential Committee repeatedly voiced concerns over how secular education was balanced with religious refinement at Protestant schools in Syria. They criticised the use of English and the teaching of science as a means to ‘enlighten’ Syrians, for they argued that this knowledge could be used for personal profit.</w:t>
      </w:r>
      <w:r w:rsidRPr="00440B9F">
        <w:rPr>
          <w:rStyle w:val="FootnoteReference"/>
          <w:rFonts w:ascii="Palatino Linotype" w:hAnsi="Palatino Linotype"/>
          <w:sz w:val="22"/>
          <w:szCs w:val="22"/>
          <w:lang w:val="en-GB"/>
        </w:rPr>
        <w:footnoteReference w:id="173"/>
      </w:r>
      <w:r w:rsidRPr="00440B9F">
        <w:rPr>
          <w:rFonts w:ascii="Palatino Linotype" w:hAnsi="Palatino Linotype"/>
          <w:sz w:val="22"/>
          <w:szCs w:val="22"/>
          <w:lang w:val="en-GB"/>
        </w:rPr>
        <w:t xml:space="preserve"> The challenge for the ABCFM missionaries was to ensure that the ‘solid Christian education’ they provided did not result in the students’ rejecting their ‘calling’ to serve the Protestant Circle in order to follow the lures of trade and wealth.</w:t>
      </w:r>
      <w:r w:rsidRPr="00440B9F">
        <w:rPr>
          <w:rStyle w:val="FootnoteReference"/>
          <w:rFonts w:ascii="Palatino Linotype" w:hAnsi="Palatino Linotype"/>
          <w:sz w:val="22"/>
          <w:szCs w:val="22"/>
          <w:lang w:val="en-GB"/>
        </w:rPr>
        <w:footnoteReference w:id="174"/>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Despite their efforts, some former students employed their linguistic skills and cultural flexibility to pursue activities that were not supported by the Protestants, or at least, not the ABCFM missionaries.</w:t>
      </w:r>
      <w:r w:rsidRPr="00440B9F">
        <w:rPr>
          <w:rStyle w:val="FootnoteReference"/>
          <w:rFonts w:ascii="Palatino Linotype" w:hAnsi="Palatino Linotype"/>
          <w:sz w:val="22"/>
          <w:szCs w:val="22"/>
          <w:lang w:val="en-GB"/>
        </w:rPr>
        <w:footnoteReference w:id="175"/>
      </w:r>
      <w:r w:rsidRPr="00440B9F">
        <w:rPr>
          <w:rFonts w:ascii="Palatino Linotype" w:hAnsi="Palatino Linotype"/>
          <w:sz w:val="22"/>
          <w:szCs w:val="22"/>
          <w:lang w:val="en-GB"/>
        </w:rPr>
        <w:t xml:space="preserve"> This included Gregory Wortabet, Assaad Kayat and Habeeb Allah Effendi, whom I label as ‘Protestant Levantines’, for they applied their Protestant affiliations and culture to secure social and economic gains. For example, Gregory Wortabet, was a son of the early converts, Jacob Gregory and Susan Wortabet. Although raised within the Protestant community and educated at the Protestant Seminary, Gregory caused ‘trouble’ for the Protestant Circle when he worked at the World’s Fair in London and assisted a show of dancing girls from Damascus during the 1850s.</w:t>
      </w:r>
      <w:r w:rsidRPr="00440B9F">
        <w:rPr>
          <w:rFonts w:ascii="Palatino Linotype" w:hAnsi="Palatino Linotype"/>
          <w:sz w:val="22"/>
          <w:szCs w:val="22"/>
          <w:vertAlign w:val="superscript"/>
          <w:lang w:val="en-GB"/>
        </w:rPr>
        <w:footnoteReference w:id="176"/>
      </w:r>
      <w:r w:rsidRPr="00440B9F">
        <w:rPr>
          <w:rFonts w:ascii="Palatino Linotype" w:hAnsi="Palatino Linotype"/>
          <w:sz w:val="22"/>
          <w:szCs w:val="22"/>
          <w:lang w:val="en-GB"/>
        </w:rPr>
        <w:t xml:space="preserve"> This was followed by a lecture tour of the United States, where Gregory emphasised his link with the Protestant Circle to legitimise his knowledge (and presumably to draw a larger audience).</w:t>
      </w:r>
      <w:r w:rsidRPr="00440B9F">
        <w:rPr>
          <w:rFonts w:ascii="Palatino Linotype" w:hAnsi="Palatino Linotype"/>
          <w:sz w:val="22"/>
          <w:szCs w:val="22"/>
          <w:vertAlign w:val="superscript"/>
          <w:lang w:val="en-GB"/>
        </w:rPr>
        <w:footnoteReference w:id="177"/>
      </w:r>
      <w:r w:rsidRPr="00440B9F">
        <w:rPr>
          <w:rFonts w:ascii="Palatino Linotype" w:hAnsi="Palatino Linotype"/>
          <w:sz w:val="22"/>
          <w:szCs w:val="22"/>
          <w:lang w:val="en-GB"/>
        </w:rPr>
        <w:t xml:space="preserve"> Wortabet’s actions prompted Hetty Smith to write to her sister in the United States, in order to clarify Gregory’s problematic position in the Protestant Circle and to dissuade her sister from wrongly supporting Gregory’s ‘interested’ activities.</w:t>
      </w:r>
      <w:r w:rsidRPr="00440B9F">
        <w:rPr>
          <w:rFonts w:ascii="Palatino Linotype" w:hAnsi="Palatino Linotype"/>
          <w:sz w:val="22"/>
          <w:szCs w:val="22"/>
          <w:vertAlign w:val="superscript"/>
          <w:lang w:val="en-GB"/>
        </w:rPr>
        <w:footnoteReference w:id="178"/>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It was in this context that many Syrian Protestants were forced to defend their Protestant commitment and their pursuits of secular education and careers. For example, during the 1850s, the ABCFM mounted criticisms against both Butrus al-Bustani and John Wortabet (Gregory’s brother) due to their engagements in secular education, which were beyond the control of the ABCFM missionaries.</w:t>
      </w:r>
      <w:r w:rsidRPr="00440B9F">
        <w:rPr>
          <w:rStyle w:val="FootnoteReference"/>
          <w:rFonts w:ascii="Palatino Linotype" w:hAnsi="Palatino Linotype"/>
          <w:sz w:val="22"/>
          <w:szCs w:val="22"/>
          <w:lang w:val="en-GB"/>
        </w:rPr>
        <w:footnoteReference w:id="179"/>
      </w:r>
      <w:r w:rsidRPr="00440B9F">
        <w:rPr>
          <w:rFonts w:ascii="Palatino Linotype" w:hAnsi="Palatino Linotype"/>
          <w:sz w:val="22"/>
          <w:szCs w:val="22"/>
          <w:lang w:val="en-GB"/>
        </w:rPr>
        <w:t xml:space="preserve"> It was feared that these two prominent men would reject their religious callings and choose careers that were not affiliated with Protestant Circle, or at least, not sanctioned by the ABCFM.</w:t>
      </w:r>
      <w:r w:rsidRPr="00440B9F">
        <w:rPr>
          <w:rStyle w:val="FootnoteReference"/>
          <w:rFonts w:ascii="Palatino Linotype" w:hAnsi="Palatino Linotype"/>
          <w:sz w:val="22"/>
          <w:szCs w:val="22"/>
          <w:lang w:val="en-GB"/>
        </w:rPr>
        <w:footnoteReference w:id="180"/>
      </w:r>
      <w:r w:rsidRPr="00440B9F">
        <w:rPr>
          <w:rFonts w:ascii="Palatino Linotype" w:hAnsi="Palatino Linotype"/>
          <w:sz w:val="22"/>
          <w:szCs w:val="22"/>
          <w:lang w:val="en-GB"/>
        </w:rPr>
        <w:t xml:space="preserve"> As time progressed, this ‘fear’ became a reality, for al-Bustani organised an independent school and pursed a noteworthy literary career, while Wortabet rejected his position as a Native Pastor for the ABCFM and became a medical missionary for the Scottish UPC. It is important to recognise that despite these breaches and the ABCFM’s criticism, both al-Bustani and Wortabet’s later activities affirmed many aspects of the Protestant culture described above, while also maintaining their commitments to the Protestant religion.</w:t>
      </w:r>
      <w:r w:rsidRPr="00440B9F">
        <w:rPr>
          <w:rStyle w:val="FootnoteReference"/>
          <w:rFonts w:ascii="Palatino Linotype" w:hAnsi="Palatino Linotype"/>
          <w:sz w:val="22"/>
          <w:szCs w:val="22"/>
          <w:lang w:val="en-GB"/>
        </w:rPr>
        <w:footnoteReference w:id="181"/>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r>
    </w:p>
    <w:p w:rsidR="007F7DD4" w:rsidRDefault="007F7DD4" w:rsidP="001761FF">
      <w:pPr>
        <w:pStyle w:val="BodyText"/>
        <w:spacing w:line="360" w:lineRule="auto"/>
        <w:jc w:val="center"/>
        <w:rPr>
          <w:rFonts w:ascii="Arial" w:hAnsi="Arial" w:cs="Arial"/>
          <w:i/>
          <w:smallCaps/>
          <w:lang w:val="en-GB"/>
        </w:rPr>
      </w:pPr>
    </w:p>
    <w:p w:rsidR="007F7DD4" w:rsidRDefault="007F7DD4" w:rsidP="001761FF">
      <w:pPr>
        <w:pStyle w:val="BodyText"/>
        <w:spacing w:line="360" w:lineRule="auto"/>
        <w:jc w:val="center"/>
        <w:rPr>
          <w:rFonts w:ascii="Arial" w:hAnsi="Arial" w:cs="Arial"/>
          <w:i/>
          <w:smallCaps/>
          <w:lang w:val="en-GB"/>
        </w:rPr>
      </w:pPr>
    </w:p>
    <w:p w:rsidR="007F7DD4" w:rsidRDefault="007F7DD4" w:rsidP="001761FF">
      <w:pPr>
        <w:pStyle w:val="BodyText"/>
        <w:spacing w:line="360" w:lineRule="auto"/>
        <w:jc w:val="center"/>
        <w:rPr>
          <w:rFonts w:ascii="Arial" w:hAnsi="Arial" w:cs="Arial"/>
          <w:i/>
          <w:smallCaps/>
          <w:lang w:val="en-GB"/>
        </w:rPr>
      </w:pPr>
    </w:p>
    <w:p w:rsidR="007F7DD4" w:rsidRPr="00440B9F" w:rsidRDefault="007F7DD4" w:rsidP="001761FF">
      <w:pPr>
        <w:pStyle w:val="BodyText"/>
        <w:spacing w:line="360" w:lineRule="auto"/>
        <w:jc w:val="center"/>
        <w:rPr>
          <w:rFonts w:ascii="Arial" w:hAnsi="Arial" w:cs="Arial"/>
          <w:i/>
          <w:smallCaps/>
          <w:sz w:val="22"/>
          <w:szCs w:val="22"/>
          <w:lang w:val="en-GB"/>
        </w:rPr>
      </w:pPr>
      <w:r w:rsidRPr="00440B9F">
        <w:rPr>
          <w:rFonts w:ascii="Arial" w:hAnsi="Arial" w:cs="Arial"/>
          <w:i/>
          <w:smallCaps/>
          <w:sz w:val="22"/>
          <w:szCs w:val="22"/>
          <w:lang w:val="en-GB"/>
        </w:rPr>
        <w:t>Religious Capital</w:t>
      </w:r>
    </w:p>
    <w:p w:rsidR="007F7DD4" w:rsidRPr="00440B9F" w:rsidRDefault="007F7DD4" w:rsidP="001761FF">
      <w:pPr>
        <w:pStyle w:val="BodyText"/>
        <w:spacing w:line="360" w:lineRule="auto"/>
        <w:jc w:val="both"/>
        <w:rPr>
          <w:rFonts w:ascii="Palatino Linotype" w:hAnsi="Palatino Linotype"/>
          <w:smallCaps/>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The theology of the Protestant Circle was initially defined and regulated by the ABCFM missionaries, although Syrian Protestants played an important role in shaping the Circle’s religious practices. Through this negotiation process three characteristics emerged to define the Protestant faith in Ottoman Syria before 1860: religious disinterestedness, Biblical literacy and evangelical revivalism. While some of these characteristics overlap with those presented in the above section, separating religious from cultural capital allows us to identify the nuances that the Protestant Circle introduced to the theological and spiritual environment of Ottoman Syria. Upholding this division also emphasises that the structural distribution within the Circle was based upon different combinations of Protestant cultural and religious capital; so that while some were educated, they were not spiritually revived, just as others were pious, but not literate.</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 important attribute of the Protestants’ faith was ‘religious disinterestedness’. This is the term I use for the belief that all encounters and activities should encourage the salvation of others. This is based upon the eighteenth century American theologian Samuel Hopkin’s concept of ‘disinterested benevolence’.</w:t>
      </w:r>
      <w:r w:rsidRPr="00440B9F">
        <w:rPr>
          <w:rFonts w:ascii="Palatino Linotype" w:hAnsi="Palatino Linotype"/>
          <w:sz w:val="22"/>
          <w:szCs w:val="22"/>
          <w:vertAlign w:val="superscript"/>
          <w:lang w:val="en-GB"/>
        </w:rPr>
        <w:t xml:space="preserve"> </w:t>
      </w:r>
      <w:r w:rsidRPr="00440B9F">
        <w:rPr>
          <w:rFonts w:ascii="Palatino Linotype" w:hAnsi="Palatino Linotype"/>
          <w:sz w:val="22"/>
          <w:szCs w:val="22"/>
          <w:vertAlign w:val="superscript"/>
          <w:lang w:val="en-GB"/>
        </w:rPr>
        <w:footnoteReference w:id="182"/>
      </w:r>
      <w:r w:rsidRPr="00440B9F">
        <w:rPr>
          <w:rFonts w:ascii="Palatino Linotype" w:hAnsi="Palatino Linotype"/>
          <w:sz w:val="22"/>
          <w:szCs w:val="22"/>
          <w:lang w:val="en-GB"/>
        </w:rPr>
        <w:t xml:space="preserve"> For Hopkins, the holiness of God resulted in His selfless love for human kind; even for the unsaved who were His enemies.</w:t>
      </w:r>
      <w:r w:rsidRPr="00440B9F">
        <w:rPr>
          <w:rFonts w:ascii="Palatino Linotype" w:hAnsi="Palatino Linotype"/>
          <w:sz w:val="22"/>
          <w:szCs w:val="22"/>
          <w:vertAlign w:val="superscript"/>
          <w:lang w:val="en-GB"/>
        </w:rPr>
        <w:footnoteReference w:id="183"/>
      </w:r>
      <w:r w:rsidRPr="00440B9F">
        <w:rPr>
          <w:rFonts w:ascii="Palatino Linotype" w:hAnsi="Palatino Linotype"/>
          <w:sz w:val="22"/>
          <w:szCs w:val="22"/>
          <w:lang w:val="en-GB"/>
        </w:rPr>
        <w:t xml:space="preserve"> In becoming part of the elect, an individual became like God and was selfless. This selflessness reached so far that ‘a regenerate person must be willing to be damned for the glory of God.’</w:t>
      </w:r>
      <w:r w:rsidRPr="00440B9F">
        <w:rPr>
          <w:rFonts w:ascii="Palatino Linotype" w:hAnsi="Palatino Linotype"/>
          <w:sz w:val="22"/>
          <w:szCs w:val="22"/>
          <w:vertAlign w:val="superscript"/>
          <w:lang w:val="en-GB"/>
        </w:rPr>
        <w:footnoteReference w:id="184"/>
      </w:r>
      <w:r w:rsidRPr="00440B9F">
        <w:rPr>
          <w:rFonts w:ascii="Palatino Linotype" w:hAnsi="Palatino Linotype"/>
          <w:sz w:val="22"/>
          <w:szCs w:val="22"/>
          <w:lang w:val="en-GB"/>
        </w:rPr>
        <w:t xml:space="preserve"> For the ABCFM missionaries, the purpose of preaching, visitations, dispensing medical treatment and reading Evangelical literature was to instigate the revival of others’ immortal state, which would lead them onto salvation.</w:t>
      </w:r>
      <w:r w:rsidRPr="00440B9F">
        <w:rPr>
          <w:rStyle w:val="FootnoteReference"/>
          <w:rFonts w:ascii="Palatino Linotype" w:hAnsi="Palatino Linotype"/>
          <w:sz w:val="22"/>
          <w:szCs w:val="22"/>
          <w:lang w:val="en-GB"/>
        </w:rPr>
        <w:footnoteReference w:id="185"/>
      </w:r>
      <w:r w:rsidRPr="00440B9F">
        <w:rPr>
          <w:rFonts w:ascii="Palatino Linotype" w:hAnsi="Palatino Linotype"/>
          <w:sz w:val="22"/>
          <w:szCs w:val="22"/>
          <w:lang w:val="en-GB"/>
        </w:rPr>
        <w:t xml:space="preserve"> Success in producing converts not only brought more humans into God’s flock,</w:t>
      </w:r>
      <w:r w:rsidRPr="00440B9F">
        <w:rPr>
          <w:rStyle w:val="FootnoteReference"/>
          <w:rFonts w:ascii="Palatino Linotype" w:hAnsi="Palatino Linotype"/>
          <w:sz w:val="22"/>
          <w:szCs w:val="22"/>
          <w:lang w:val="en-GB"/>
        </w:rPr>
        <w:footnoteReference w:id="186"/>
      </w:r>
      <w:r w:rsidRPr="00440B9F">
        <w:rPr>
          <w:rFonts w:ascii="Palatino Linotype" w:hAnsi="Palatino Linotype"/>
          <w:sz w:val="22"/>
          <w:szCs w:val="22"/>
          <w:lang w:val="en-GB"/>
        </w:rPr>
        <w:t xml:space="preserve"> but also revealed the true holiness of the evangelising Protestants.</w:t>
      </w:r>
      <w:r w:rsidRPr="00440B9F">
        <w:rPr>
          <w:rStyle w:val="FootnoteReference"/>
          <w:rFonts w:ascii="Palatino Linotype" w:hAnsi="Palatino Linotype"/>
          <w:sz w:val="22"/>
          <w:szCs w:val="22"/>
          <w:lang w:val="en-GB"/>
        </w:rPr>
        <w:footnoteReference w:id="187"/>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Certain individuals were promoted as notable examples of religious disinterestedness. The missionary Sarah Smith was repeatedly praised for her ‘[d]isinterestedness and self-denial for the benefit of others’.</w:t>
      </w:r>
      <w:r w:rsidRPr="00440B9F">
        <w:rPr>
          <w:rStyle w:val="FootnoteReference"/>
          <w:rFonts w:ascii="Palatino Linotype" w:hAnsi="Palatino Linotype"/>
          <w:sz w:val="22"/>
          <w:szCs w:val="22"/>
          <w:lang w:val="en-GB"/>
        </w:rPr>
        <w:footnoteReference w:id="188"/>
      </w:r>
      <w:r w:rsidRPr="00440B9F">
        <w:rPr>
          <w:rFonts w:ascii="Palatino Linotype" w:hAnsi="Palatino Linotype"/>
          <w:sz w:val="22"/>
          <w:szCs w:val="22"/>
          <w:lang w:val="en-GB"/>
        </w:rPr>
        <w:t xml:space="preserve"> One account proclaimed that ‘[Sarah’s] labours of disinterested benevolence for [the Syrian] people, great endeared her to all who knew her’.</w:t>
      </w:r>
      <w:r w:rsidRPr="00440B9F">
        <w:rPr>
          <w:rStyle w:val="FootnoteReference"/>
          <w:rFonts w:ascii="Palatino Linotype" w:hAnsi="Palatino Linotype"/>
          <w:sz w:val="22"/>
          <w:szCs w:val="22"/>
          <w:lang w:val="en-GB"/>
        </w:rPr>
        <w:footnoteReference w:id="189"/>
      </w:r>
      <w:r w:rsidRPr="00440B9F">
        <w:rPr>
          <w:rFonts w:ascii="Palatino Linotype" w:hAnsi="Palatino Linotype"/>
          <w:sz w:val="22"/>
          <w:szCs w:val="22"/>
          <w:lang w:val="en-GB"/>
        </w:rPr>
        <w:t xml:space="preserve"> Smith’s memoirs recounted her acts of religious disinterestedness, as well as the costs of this disinterested work, which included personal discomfort, separation from family and bodily death.</w:t>
      </w:r>
      <w:r w:rsidRPr="00440B9F">
        <w:rPr>
          <w:rStyle w:val="FootnoteReference"/>
          <w:rFonts w:ascii="Palatino Linotype" w:hAnsi="Palatino Linotype"/>
          <w:sz w:val="22"/>
          <w:szCs w:val="22"/>
          <w:lang w:val="en-GB"/>
        </w:rPr>
        <w:footnoteReference w:id="190"/>
      </w:r>
      <w:r w:rsidRPr="00440B9F">
        <w:rPr>
          <w:rFonts w:ascii="Palatino Linotype" w:hAnsi="Palatino Linotype"/>
          <w:sz w:val="22"/>
          <w:szCs w:val="22"/>
          <w:lang w:val="en-GB"/>
        </w:rPr>
        <w:t xml:space="preserve"> It was due to her sacrificial behaviour that Sarah was promoted as a model for other women (and men) within the Protestant Circle.</w:t>
      </w:r>
      <w:r w:rsidRPr="00440B9F">
        <w:rPr>
          <w:rStyle w:val="FootnoteReference"/>
          <w:rFonts w:ascii="Palatino Linotype" w:hAnsi="Palatino Linotype"/>
          <w:sz w:val="22"/>
          <w:szCs w:val="22"/>
          <w:lang w:val="en-GB"/>
        </w:rPr>
        <w:footnoteReference w:id="191"/>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 second characteristic of the Circle’s religion was the centrality of the Bible to individual salvation. John Wortabet explained that:</w:t>
      </w:r>
    </w:p>
    <w:p w:rsidR="007F7DD4" w:rsidRDefault="007F7DD4" w:rsidP="001761FF">
      <w:pPr>
        <w:pStyle w:val="BodyText"/>
        <w:ind w:left="720" w:right="533"/>
        <w:jc w:val="both"/>
        <w:rPr>
          <w:rFonts w:ascii="Palatino Linotype" w:hAnsi="Palatino Linotype"/>
          <w:lang w:val="en-GB"/>
        </w:rPr>
      </w:pPr>
      <w:r w:rsidRPr="00440B9F">
        <w:rPr>
          <w:rFonts w:ascii="Palatino Linotype" w:hAnsi="Palatino Linotype"/>
          <w:sz w:val="22"/>
          <w:szCs w:val="22"/>
          <w:lang w:val="en-GB"/>
        </w:rPr>
        <w:t>[t]he Bible, as the only rule of faith and duty, the plan of free salvation by grace through faith in Christ alone, and the way of access to the Father by the Son only, are known by many to form the distinctive features of the evangelical religion.</w:t>
      </w:r>
      <w:r w:rsidRPr="00440B9F">
        <w:rPr>
          <w:rStyle w:val="FootnoteReference"/>
          <w:rFonts w:ascii="Palatino Linotype" w:hAnsi="Palatino Linotype"/>
          <w:sz w:val="22"/>
          <w:szCs w:val="22"/>
          <w:lang w:val="en-GB"/>
        </w:rPr>
        <w:footnoteReference w:id="192"/>
      </w:r>
      <w:r w:rsidRPr="00440B9F">
        <w:rPr>
          <w:rFonts w:ascii="Palatino Linotype" w:hAnsi="Palatino Linotype"/>
          <w:sz w:val="22"/>
          <w:szCs w:val="22"/>
          <w:lang w:val="en-GB"/>
        </w:rPr>
        <w:t xml:space="preserve"> </w:t>
      </w:r>
    </w:p>
    <w:p w:rsidR="007F7DD4" w:rsidRPr="00440B9F" w:rsidRDefault="007F7DD4" w:rsidP="001761FF">
      <w:pPr>
        <w:pStyle w:val="BodyText"/>
        <w:ind w:left="720" w:right="533"/>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This Bible-centred theology was strongly advocated by the ABCFM missionaries, but, as Wortabet’s comment suggests, became an important characteristic of both Protestant culture and faith in Ottoman Syria.</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Protestants believed that redemption was available to all persons who sought ‘the way of salvation by the mercy of God, through the merits of Christ’.</w:t>
      </w:r>
      <w:r w:rsidRPr="00440B9F">
        <w:rPr>
          <w:rStyle w:val="FootnoteReference"/>
          <w:rFonts w:ascii="Palatino Linotype" w:hAnsi="Palatino Linotype"/>
          <w:sz w:val="22"/>
          <w:szCs w:val="22"/>
          <w:lang w:val="en-GB"/>
        </w:rPr>
        <w:footnoteReference w:id="193"/>
      </w:r>
      <w:r w:rsidRPr="00440B9F">
        <w:rPr>
          <w:rFonts w:ascii="Palatino Linotype" w:hAnsi="Palatino Linotype"/>
          <w:sz w:val="22"/>
          <w:szCs w:val="22"/>
          <w:lang w:val="en-GB"/>
        </w:rPr>
        <w:t xml:space="preserve"> Although this salvation could be gained through ‘simply reading the Scriptures’,</w:t>
      </w:r>
      <w:r w:rsidRPr="00440B9F">
        <w:rPr>
          <w:rStyle w:val="FootnoteReference"/>
          <w:rFonts w:ascii="Palatino Linotype" w:hAnsi="Palatino Linotype"/>
          <w:sz w:val="22"/>
          <w:szCs w:val="22"/>
          <w:lang w:val="en-GB"/>
        </w:rPr>
        <w:footnoteReference w:id="194"/>
      </w:r>
      <w:r w:rsidRPr="00440B9F">
        <w:rPr>
          <w:rFonts w:ascii="Palatino Linotype" w:hAnsi="Palatino Linotype"/>
          <w:sz w:val="22"/>
          <w:szCs w:val="22"/>
          <w:lang w:val="en-GB"/>
        </w:rPr>
        <w:t xml:space="preserve"> some argued that listening to the Bible was just as effective. For John Wortabet, ‘the Bible read and the Bible heard are one and the same means, though the way of its application to the understanding is different in mode, the Holy Spirit blessing the way which seemeth [</w:t>
      </w:r>
      <w:r w:rsidRPr="00440B9F">
        <w:rPr>
          <w:rFonts w:ascii="Palatino Linotype" w:hAnsi="Palatino Linotype"/>
          <w:i/>
          <w:sz w:val="22"/>
          <w:szCs w:val="22"/>
          <w:lang w:val="en-GB"/>
        </w:rPr>
        <w:t>sic</w:t>
      </w:r>
      <w:r w:rsidRPr="00440B9F">
        <w:rPr>
          <w:rFonts w:ascii="Palatino Linotype" w:hAnsi="Palatino Linotype"/>
          <w:sz w:val="22"/>
          <w:szCs w:val="22"/>
          <w:lang w:val="en-GB"/>
        </w:rPr>
        <w:t>] good to Him’.</w:t>
      </w:r>
      <w:r w:rsidRPr="00440B9F">
        <w:rPr>
          <w:rStyle w:val="FootnoteReference"/>
          <w:rFonts w:ascii="Palatino Linotype" w:hAnsi="Palatino Linotype"/>
          <w:sz w:val="22"/>
          <w:szCs w:val="22"/>
          <w:lang w:val="en-GB"/>
        </w:rPr>
        <w:footnoteReference w:id="195"/>
      </w:r>
      <w:r w:rsidRPr="00440B9F">
        <w:rPr>
          <w:rFonts w:ascii="Palatino Linotype" w:hAnsi="Palatino Linotype"/>
          <w:sz w:val="22"/>
          <w:szCs w:val="22"/>
          <w:lang w:val="en-GB"/>
        </w:rPr>
        <w:t xml:space="preserve"> Salvation was thus achieved through believing in the (specifically defined) Gospel message, regardless of how this message with acquired.</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This openness of access to salvation was undermined by the view that only a few, highly educated individuals could fully understand the theological complexities of the Protestant triune God. While salvation was not necessarily dependent upon full understanding of religious conundrums, a certain level of theological comprehension was expected from those who applied for membership into the Mission Church and ECB.</w:t>
      </w:r>
      <w:r w:rsidRPr="00440B9F">
        <w:rPr>
          <w:rStyle w:val="FootnoteReference"/>
          <w:rFonts w:ascii="Palatino Linotype" w:hAnsi="Palatino Linotype"/>
          <w:sz w:val="22"/>
          <w:szCs w:val="22"/>
          <w:lang w:val="en-GB"/>
        </w:rPr>
        <w:footnoteReference w:id="196"/>
      </w:r>
      <w:r w:rsidRPr="00440B9F">
        <w:rPr>
          <w:rFonts w:ascii="Palatino Linotype" w:hAnsi="Palatino Linotype"/>
          <w:sz w:val="22"/>
          <w:szCs w:val="22"/>
          <w:lang w:val="en-GB"/>
        </w:rPr>
        <w:t xml:space="preserve"> This admission process entailed a lengthy examination, conducted by the ABCFM missionaries and Native Assistants, who considered the candidates’ ‘knowledge of the evangelical doctrines, and…piety’.</w:t>
      </w:r>
      <w:r w:rsidRPr="00440B9F">
        <w:rPr>
          <w:rStyle w:val="FootnoteReference"/>
          <w:rFonts w:ascii="Palatino Linotype" w:hAnsi="Palatino Linotype"/>
          <w:sz w:val="22"/>
          <w:szCs w:val="22"/>
          <w:lang w:val="en-GB"/>
        </w:rPr>
        <w:footnoteReference w:id="197"/>
      </w:r>
      <w:r w:rsidRPr="00440B9F">
        <w:rPr>
          <w:rFonts w:ascii="Palatino Linotype" w:hAnsi="Palatino Linotype"/>
          <w:sz w:val="22"/>
          <w:szCs w:val="22"/>
          <w:lang w:val="en-GB"/>
        </w:rPr>
        <w:t xml:space="preserve"> This standard of doctrine was formalised in the ECB’s ‘Confession of Faith’ and ‘Covenant’.</w:t>
      </w:r>
      <w:r w:rsidRPr="00440B9F">
        <w:rPr>
          <w:rStyle w:val="FootnoteReference"/>
          <w:rFonts w:ascii="Palatino Linotype" w:hAnsi="Palatino Linotype"/>
          <w:sz w:val="22"/>
          <w:szCs w:val="22"/>
          <w:lang w:val="en-GB"/>
        </w:rPr>
        <w:footnoteReference w:id="198"/>
      </w:r>
      <w:r w:rsidRPr="00440B9F">
        <w:rPr>
          <w:rFonts w:ascii="Palatino Linotype" w:hAnsi="Palatino Linotype"/>
          <w:sz w:val="22"/>
          <w:szCs w:val="22"/>
          <w:lang w:val="en-GB"/>
        </w:rPr>
        <w:t xml:space="preserve"> These were based primarily upon contemporary American Protestant theology, which was difficult to translate to many Syrians, despite the use of vernacular Arabic and the employment of Evangelical literature. Although many Syrians proclaimed to be Protestants, it appears that they did not fully absorb or advocate the details of this reformed theology, so that they failed the application process and remained marginalised along the perimeter of the Protestant Circle.</w:t>
      </w:r>
      <w:r w:rsidRPr="00440B9F">
        <w:rPr>
          <w:rStyle w:val="FootnoteReference"/>
          <w:rFonts w:ascii="Palatino Linotype" w:hAnsi="Palatino Linotype"/>
          <w:sz w:val="22"/>
          <w:szCs w:val="22"/>
          <w:lang w:val="en-GB"/>
        </w:rPr>
        <w:footnoteReference w:id="199"/>
      </w:r>
      <w:r w:rsidRPr="00440B9F">
        <w:rPr>
          <w:rFonts w:ascii="Palatino Linotype" w:hAnsi="Palatino Linotype"/>
          <w:sz w:val="22"/>
          <w:szCs w:val="22"/>
          <w:lang w:val="en-GB"/>
        </w:rPr>
        <w:t xml:space="preserve"> Conversely, members of Congregational, Presbyterian or Anglican churches easily transferred their membership to the Mission Church, under the assumption that they were knowledgeable of and upheld these theological doctrines.</w:t>
      </w:r>
      <w:r w:rsidRPr="00440B9F">
        <w:rPr>
          <w:rStyle w:val="FootnoteReference"/>
          <w:rFonts w:ascii="Palatino Linotype" w:hAnsi="Palatino Linotype"/>
          <w:sz w:val="22"/>
          <w:szCs w:val="22"/>
          <w:lang w:val="en-GB"/>
        </w:rPr>
        <w:footnoteReference w:id="200"/>
      </w:r>
      <w:r w:rsidRPr="00440B9F">
        <w:rPr>
          <w:rFonts w:ascii="Palatino Linotype" w:hAnsi="Palatino Linotype"/>
          <w:sz w:val="22"/>
          <w:szCs w:val="22"/>
          <w:lang w:val="en-GB"/>
        </w:rPr>
        <w:t xml:space="preserve"> As a result, neither the ABCFM missionaries nor other European-American Protestants suffered through the humiliations of the examination process, but only the Syrian members of the Protestant Circle.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third characteristic of the religion practiced by the Protestant Circle was Evangelical revivalism. This refers to the belief that the Holy Spirit prompted an individual to recognise his/her sinful state, which triggered the person to seek forgiveness and redemption through Christ.</w:t>
      </w:r>
      <w:r w:rsidRPr="00440B9F">
        <w:rPr>
          <w:rStyle w:val="FootnoteReference"/>
          <w:rFonts w:ascii="Palatino Linotype" w:hAnsi="Palatino Linotype"/>
          <w:sz w:val="22"/>
          <w:szCs w:val="22"/>
          <w:lang w:val="en-GB"/>
        </w:rPr>
        <w:footnoteReference w:id="201"/>
      </w:r>
      <w:r w:rsidRPr="00440B9F">
        <w:rPr>
          <w:rFonts w:ascii="Palatino Linotype" w:hAnsi="Palatino Linotype"/>
          <w:sz w:val="22"/>
          <w:szCs w:val="22"/>
          <w:lang w:val="en-GB"/>
        </w:rPr>
        <w:t xml:space="preserve"> It was believed that revival by the Spirit was possible for all humans, as the Holy Spirit was free to speak to whomever it chose. The responsibility was placed upon the individual to accept the Spirit’s calling. Evangelical literature, such the ‘Dairyman’s Daughter’, were examples of this revival narrative and functioned as channels through which the ABCFM missionaries conveyed this theology to Syrian Protestants. As a result, applicants to the ECB were asked: ‘[d]o you believe that by reason of the total depravity of human nature, it is indispensable, in order to obtain salvation, that everyone shall be born anew by the work of the Holy Spirit?’</w:t>
      </w:r>
      <w:r w:rsidRPr="00440B9F">
        <w:rPr>
          <w:rFonts w:ascii="Palatino Linotype" w:hAnsi="Palatino Linotype"/>
          <w:sz w:val="22"/>
          <w:szCs w:val="22"/>
          <w:vertAlign w:val="superscript"/>
          <w:lang w:val="en-GB"/>
        </w:rPr>
        <w:footnoteReference w:id="202"/>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Although revival was possible for all humans, a Protestant had to prove his or her revived state. For the Protestant Circle, those who embodied the abovementioned characteristics of Protestant social, cultural and religious capital were believed to have experienced revival and were regarded as true Christians. Conversely, engaging in ‘sinful’ acts suggested that a person lacked remorse over his/her sinful state and had not been revived, even if they proclaimed to be a Protestant.</w:t>
      </w:r>
      <w:r w:rsidRPr="00440B9F">
        <w:rPr>
          <w:rStyle w:val="FootnoteReference"/>
          <w:rFonts w:ascii="Palatino Linotype" w:hAnsi="Palatino Linotype"/>
          <w:sz w:val="22"/>
          <w:szCs w:val="22"/>
          <w:lang w:val="en-GB"/>
        </w:rPr>
        <w:footnoteReference w:id="203"/>
      </w:r>
      <w:r w:rsidRPr="00440B9F">
        <w:rPr>
          <w:rFonts w:ascii="Palatino Linotype" w:hAnsi="Palatino Linotype"/>
          <w:sz w:val="22"/>
          <w:szCs w:val="22"/>
          <w:lang w:val="en-GB"/>
        </w:rPr>
        <w:t xml:space="preserve"> Sinful acts included the use of improper language, especially the casual employment of ‘God’-‘</w:t>
      </w:r>
      <w:r w:rsidRPr="00440B9F">
        <w:rPr>
          <w:rFonts w:ascii="Palatino Linotype" w:hAnsi="Palatino Linotype"/>
          <w:i/>
          <w:sz w:val="22"/>
          <w:szCs w:val="22"/>
          <w:lang w:val="en-GB"/>
        </w:rPr>
        <w:t>Allah</w:t>
      </w:r>
      <w:r w:rsidRPr="00440B9F">
        <w:rPr>
          <w:rFonts w:ascii="Palatino Linotype" w:hAnsi="Palatino Linotype"/>
          <w:sz w:val="22"/>
          <w:szCs w:val="22"/>
          <w:lang w:val="en-GB"/>
        </w:rPr>
        <w:t xml:space="preserve">’, lying, fighting, and imbibing excessive alcohol. The various dietary restrictions upheld by the different Christian and Muslim communities in Syria were criticised by the ABCFM missionaries and elite Syrian Protestants as being unnecessary for redemption. As a result, many of the Syrian Protestants who joined the Protestant Circle under ‘interested’ circumstances, like political upheavals, sought to dispel suspicions of their Protestant commitment through publicly violating these dietary customs. Speaking of the Protestants in Hasbaya, the </w:t>
      </w:r>
      <w:r w:rsidRPr="00440B9F">
        <w:rPr>
          <w:rFonts w:ascii="Palatino Linotype" w:hAnsi="Palatino Linotype"/>
          <w:i/>
          <w:sz w:val="22"/>
          <w:szCs w:val="22"/>
          <w:lang w:val="en-GB"/>
        </w:rPr>
        <w:t>Missionary Herald</w:t>
      </w:r>
      <w:r w:rsidRPr="00440B9F">
        <w:rPr>
          <w:rFonts w:ascii="Palatino Linotype" w:hAnsi="Palatino Linotype"/>
          <w:sz w:val="22"/>
          <w:szCs w:val="22"/>
          <w:lang w:val="en-GB"/>
        </w:rPr>
        <w:t xml:space="preserve"> printed that: </w:t>
      </w:r>
    </w:p>
    <w:p w:rsidR="007F7DD4" w:rsidRDefault="007F7DD4"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[t]hey were in the midst of the great fast of Lent, during which all Greeks [</w:t>
      </w:r>
      <w:r w:rsidRPr="00440B9F">
        <w:rPr>
          <w:rFonts w:ascii="Palatino Linotype" w:hAnsi="Palatino Linotype"/>
          <w:i/>
          <w:sz w:val="22"/>
          <w:szCs w:val="22"/>
          <w:lang w:val="en-GB"/>
        </w:rPr>
        <w:t>sic</w:t>
      </w:r>
      <w:r w:rsidRPr="00440B9F">
        <w:rPr>
          <w:rFonts w:ascii="Palatino Linotype" w:hAnsi="Palatino Linotype"/>
          <w:sz w:val="22"/>
          <w:szCs w:val="22"/>
          <w:lang w:val="en-GB"/>
        </w:rPr>
        <w:t xml:space="preserve">] are strictly forbidden to eat animal food; and nothing could indicate a more fixed determination on their part to secede from the Greek church to Protestantism, than breaking this fast. So bringing a dish of </w:t>
      </w:r>
      <w:r w:rsidRPr="00440B9F">
        <w:rPr>
          <w:rFonts w:ascii="Palatino Linotype" w:hAnsi="Palatino Linotype"/>
          <w:i/>
          <w:sz w:val="22"/>
          <w:szCs w:val="22"/>
          <w:lang w:val="en-GB"/>
        </w:rPr>
        <w:t>leben</w:t>
      </w:r>
      <w:r w:rsidRPr="00440B9F">
        <w:rPr>
          <w:rFonts w:ascii="Palatino Linotype" w:hAnsi="Palatino Linotype"/>
          <w:sz w:val="22"/>
          <w:szCs w:val="22"/>
          <w:lang w:val="en-GB"/>
        </w:rPr>
        <w:t xml:space="preserve"> [</w:t>
      </w:r>
      <w:r w:rsidRPr="00440B9F">
        <w:rPr>
          <w:rFonts w:ascii="Palatino Linotype" w:hAnsi="Palatino Linotype"/>
          <w:i/>
          <w:sz w:val="22"/>
          <w:szCs w:val="22"/>
          <w:lang w:val="en-GB"/>
        </w:rPr>
        <w:t>sic</w:t>
      </w:r>
      <w:r w:rsidRPr="00440B9F">
        <w:rPr>
          <w:rFonts w:ascii="Palatino Linotype" w:hAnsi="Palatino Linotype"/>
          <w:sz w:val="22"/>
          <w:szCs w:val="22"/>
          <w:lang w:val="en-GB"/>
        </w:rPr>
        <w:t>]</w:t>
      </w:r>
      <w:r w:rsidRPr="00440B9F">
        <w:rPr>
          <w:rFonts w:ascii="Palatino Linotype" w:hAnsi="Palatino Linotype"/>
          <w:i/>
          <w:sz w:val="22"/>
          <w:szCs w:val="22"/>
          <w:lang w:val="en-GB"/>
        </w:rPr>
        <w:t xml:space="preserve"> </w:t>
      </w:r>
      <w:r w:rsidRPr="00440B9F">
        <w:rPr>
          <w:rFonts w:ascii="Palatino Linotype" w:hAnsi="Palatino Linotype"/>
          <w:sz w:val="22"/>
          <w:szCs w:val="22"/>
          <w:lang w:val="en-GB"/>
        </w:rPr>
        <w:t>before the American Consul’s door, where they happened to be sitting, all but one or two partook of it, each, as he dipped his bread in the dish, saying, ‘In this religion I will live, and in this religion I will die.</w:t>
      </w:r>
      <w:r w:rsidRPr="00440B9F">
        <w:rPr>
          <w:rStyle w:val="FootnoteReference"/>
          <w:rFonts w:ascii="Palatino Linotype" w:hAnsi="Palatino Linotype"/>
          <w:sz w:val="22"/>
          <w:szCs w:val="22"/>
          <w:lang w:val="en-GB"/>
        </w:rPr>
        <w:footnoteReference w:id="204"/>
      </w:r>
    </w:p>
    <w:p w:rsidR="007F7DD4" w:rsidRPr="00440B9F" w:rsidRDefault="007F7DD4" w:rsidP="001761FF">
      <w:pPr>
        <w:pStyle w:val="BodyText"/>
        <w:ind w:left="720" w:right="720"/>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This scene, which elicits the imagery of the Last Supper, suggests the potential of the converts to become true Protestants believers. However, as the years progressed, many of these Protestants were reluctant to fully perform other aspects of Protestant faith and culture, so that these ‘babes in Christian’ remained marginalised within the Protestant Circle.</w:t>
      </w:r>
      <w:r w:rsidRPr="00440B9F">
        <w:rPr>
          <w:rStyle w:val="FootnoteReference"/>
          <w:rFonts w:ascii="Palatino Linotype" w:hAnsi="Palatino Linotype"/>
          <w:sz w:val="22"/>
          <w:szCs w:val="22"/>
          <w:lang w:val="en-GB"/>
        </w:rPr>
        <w:footnoteReference w:id="205"/>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More successful at displaying evidence of revival were the Syrian Protestants who were raised as adopted boarding students and attended Protestant seminaries. The theological struggles of these Protestants often mirrored the spiritual journeys of the ABCFM missionaries and the characters in Evangelical literature, for they included periods of self-doubt and the yearning for personal communion with Christ.</w:t>
      </w:r>
      <w:r w:rsidRPr="00440B9F">
        <w:rPr>
          <w:rStyle w:val="FootnoteReference"/>
          <w:rFonts w:ascii="Palatino Linotype" w:hAnsi="Palatino Linotype"/>
          <w:sz w:val="22"/>
          <w:szCs w:val="22"/>
          <w:lang w:val="en-GB"/>
        </w:rPr>
        <w:footnoteReference w:id="206"/>
      </w:r>
      <w:r w:rsidRPr="00440B9F">
        <w:rPr>
          <w:rFonts w:ascii="Palatino Linotype" w:hAnsi="Palatino Linotype"/>
          <w:sz w:val="22"/>
          <w:szCs w:val="22"/>
          <w:lang w:val="en-GB"/>
        </w:rPr>
        <w:t xml:space="preserve"> There was a perpetual fear amongst the ABCFM that, despite years of Biblical and religious instruction, these students would become enlightened, but never experience a true revival of spirit.</w:t>
      </w:r>
      <w:r w:rsidRPr="00440B9F">
        <w:rPr>
          <w:rStyle w:val="FootnoteReference"/>
          <w:rFonts w:ascii="Palatino Linotype" w:hAnsi="Palatino Linotype"/>
          <w:sz w:val="22"/>
          <w:szCs w:val="22"/>
          <w:lang w:val="en-GB"/>
        </w:rPr>
        <w:footnoteReference w:id="207"/>
      </w:r>
      <w:r w:rsidRPr="00440B9F">
        <w:rPr>
          <w:rFonts w:ascii="Palatino Linotype" w:hAnsi="Palatino Linotype"/>
          <w:sz w:val="22"/>
          <w:szCs w:val="22"/>
          <w:lang w:val="en-GB"/>
        </w:rPr>
        <w:t xml:space="preserve"> This fear was slightly abated in 1846, when ‘there was a great awakening among the young girls in some of the Mission families’.</w:t>
      </w:r>
      <w:r w:rsidRPr="00440B9F">
        <w:rPr>
          <w:rStyle w:val="FootnoteReference"/>
          <w:rFonts w:ascii="Palatino Linotype" w:hAnsi="Palatino Linotype"/>
          <w:sz w:val="22"/>
          <w:szCs w:val="22"/>
          <w:lang w:val="en-GB"/>
        </w:rPr>
        <w:footnoteReference w:id="208"/>
      </w:r>
      <w:r w:rsidRPr="00440B9F">
        <w:rPr>
          <w:rFonts w:ascii="Palatino Linotype" w:hAnsi="Palatino Linotype"/>
          <w:sz w:val="22"/>
          <w:szCs w:val="22"/>
          <w:lang w:val="en-GB"/>
        </w:rPr>
        <w:t xml:space="preserve"> As these students matured however, many became frustrated with the limits placed upon their theological, social and cultural development by the ABCFM and pursued alternative definitions of Protestantism, thus problematising their position in this religious framework.</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This section introduced the three forms of capital that defined Protestantism in Ottoman Syria from 1823 to 1860. It showed that the ABCFM male missionaries functioned as the central figures within this community, for they defined the normative terms for Protestantism during this period. Syrian Protestants and other members of the Protestant Circle gradually adopted aspects of the ABCFM missionaries’ Protestantism, but in a process where they negotiated and assimilated these practices and opinions. The following section investigates the alternatives to the ABCFM’s definition of Protestantism that emerged during this negotiation process and which eventually challenged the centrality of the missionaries.</w:t>
      </w: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pStyle w:val="BodyText"/>
        <w:spacing w:line="360" w:lineRule="auto"/>
        <w:jc w:val="center"/>
        <w:rPr>
          <w:rFonts w:ascii="Arial" w:hAnsi="Arial" w:cs="Arial"/>
          <w:smallCaps/>
          <w:sz w:val="22"/>
          <w:szCs w:val="22"/>
          <w:lang w:val="en-GB"/>
        </w:rPr>
      </w:pPr>
      <w:r w:rsidRPr="00440B9F">
        <w:rPr>
          <w:rFonts w:ascii="Arial" w:hAnsi="Arial" w:cs="Arial"/>
          <w:smallCaps/>
          <w:sz w:val="22"/>
          <w:szCs w:val="22"/>
          <w:lang w:val="en-GB"/>
        </w:rPr>
        <w:t>Decentring the ABCFM Missionaries</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 xml:space="preserve">In 1860, John Wortabet analysed the different Christian communities in Ottoman Syria. Speaking of Protestantism, he wrote that the members of the ECB numbered ‘a little over a hundred’ and were concentrated at Beirut, Abeih, Hasbaya and Sidon. Wortabet added that: </w:t>
      </w:r>
    </w:p>
    <w:p w:rsidR="007F7DD4" w:rsidRDefault="007F7DD4" w:rsidP="001761FF">
      <w:pPr>
        <w:pStyle w:val="BodyText"/>
        <w:ind w:left="720" w:right="720"/>
        <w:jc w:val="both"/>
        <w:rPr>
          <w:rFonts w:ascii="Palatino Linotype" w:hAnsi="Palatino Linotype"/>
          <w:lang w:val="en-GB"/>
        </w:rPr>
      </w:pPr>
      <w:r w:rsidRPr="00440B9F">
        <w:rPr>
          <w:rFonts w:ascii="Palatino Linotype" w:hAnsi="Palatino Linotype"/>
          <w:sz w:val="22"/>
          <w:szCs w:val="22"/>
          <w:lang w:val="en-GB"/>
        </w:rPr>
        <w:t>[o]f the actual number of the whole Protestant community in Syria, it is not in our power to give more than an approximate estimate, as it is so widely scattered, and generally is on the increase every day. It cannot, however, be very far from one thousand souls, old and young: of this, some five or six hundred are in connexion with the missionaries of the American Board; and the others with the Anglican, Irish, Presbyterian, and Associate Reformed mission.</w:t>
      </w:r>
      <w:r w:rsidRPr="00440B9F">
        <w:rPr>
          <w:rStyle w:val="FootnoteReference"/>
          <w:rFonts w:ascii="Palatino Linotype" w:hAnsi="Palatino Linotype"/>
          <w:sz w:val="22"/>
          <w:szCs w:val="22"/>
          <w:lang w:val="en-GB"/>
        </w:rPr>
        <w:footnoteReference w:id="209"/>
      </w:r>
    </w:p>
    <w:p w:rsidR="007F7DD4" w:rsidRPr="00440B9F" w:rsidRDefault="007F7DD4" w:rsidP="001761FF">
      <w:pPr>
        <w:pStyle w:val="BodyText"/>
        <w:ind w:left="720" w:right="720"/>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According to Wortabet, the seed planted by the earliest missionaries had grown beyond the boundaries constructed by ABCFM.</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One challenge to the ABCFM’s control of Protestantism emerged from the disunion amongst the ABCFM missionaries. Although differences in missiology and church structure always troubled the ABCFM missionaries, early conflicts were publicly minimised or quickly resolved in order to focus upon the primary goal of establishing Protestantism in Syria.</w:t>
      </w:r>
      <w:r w:rsidRPr="00440B9F">
        <w:rPr>
          <w:rStyle w:val="FootnoteReference"/>
          <w:rFonts w:ascii="Palatino Linotype" w:hAnsi="Palatino Linotype"/>
          <w:sz w:val="22"/>
          <w:szCs w:val="22"/>
          <w:lang w:val="en-GB"/>
        </w:rPr>
        <w:footnoteReference w:id="210"/>
      </w:r>
      <w:r w:rsidRPr="00440B9F">
        <w:rPr>
          <w:rFonts w:ascii="Palatino Linotype" w:hAnsi="Palatino Linotype"/>
          <w:sz w:val="22"/>
          <w:szCs w:val="22"/>
          <w:lang w:val="en-GB"/>
        </w:rPr>
        <w:t xml:space="preserve"> During the 1850s however, this public concord was noticeably undermined. A number of new missionaries arrived during the mid-1850s, including J. Lorenzo and Catherine Lyons in 1855, Edward and Susan Aiken, Daniel and Abby Bliss and Henry Harris Jessup in 1856.</w:t>
      </w:r>
      <w:r w:rsidRPr="00440B9F">
        <w:rPr>
          <w:rStyle w:val="FootnoteReference"/>
          <w:rFonts w:ascii="Palatino Linotype" w:hAnsi="Palatino Linotype"/>
          <w:sz w:val="22"/>
          <w:szCs w:val="22"/>
          <w:lang w:val="en-GB"/>
        </w:rPr>
        <w:footnoteReference w:id="211"/>
      </w:r>
      <w:r w:rsidRPr="00440B9F">
        <w:rPr>
          <w:rFonts w:ascii="Palatino Linotype" w:hAnsi="Palatino Linotype"/>
          <w:sz w:val="22"/>
          <w:szCs w:val="22"/>
          <w:lang w:val="en-GB"/>
        </w:rPr>
        <w:t xml:space="preserve"> The ideas and culture introduced by these missionaries reflected the changes unfolding within the United States and differed from those held by the missionaries already at the station. In addition, the senior member of the station, Eli Smith died in 1857, after roughly twenty five years of missionary service, while the influential Henry and Catherine DeForest returned to the United States during the same year.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These changes affected the activities pursued by the ABCFM in Syria and the missionaries’ relationships with other Protestants. Firstly, evangelical work was increasingly defined by gender, so that the activities performed by women, both missionary and Syrian Protestant, were narrowed to services solely for other women and children. The causes and impact of this change is examined in chapters four and five. Another change resulted from the increased animosity voiced against Syrians by the new ABCFM missionaries. With the exception of some Druze and Ottoman officials, Muslims in Syria occupied external positions to the Protestant Circle due to the ABCFM’s failed attempts to proselytise amongst Muslim communities during the pioneering years of their work. Thus, by 1839, the ABCFM advocated its primary goal to be the revival of Christian communities in the region, who would then serve as examples for their Muslim neighbours.</w:t>
      </w:r>
      <w:r w:rsidRPr="00440B9F">
        <w:rPr>
          <w:rStyle w:val="FootnoteReference"/>
          <w:rFonts w:ascii="Palatino Linotype" w:hAnsi="Palatino Linotype"/>
          <w:sz w:val="22"/>
          <w:szCs w:val="22"/>
          <w:lang w:val="en-GB"/>
        </w:rPr>
        <w:footnoteReference w:id="212"/>
      </w:r>
      <w:r w:rsidRPr="00440B9F">
        <w:rPr>
          <w:rFonts w:ascii="Palatino Linotype" w:hAnsi="Palatino Linotype"/>
          <w:sz w:val="22"/>
          <w:szCs w:val="22"/>
          <w:lang w:val="en-GB"/>
        </w:rPr>
        <w:t xml:space="preserve"> While the polemical stances taken by some of the  earlier missionaries against Syrians, particularly Syrian Christians, abated in the 1830s,</w:t>
      </w:r>
      <w:r w:rsidRPr="00440B9F">
        <w:rPr>
          <w:rStyle w:val="FootnoteReference"/>
          <w:rFonts w:ascii="Palatino Linotype" w:hAnsi="Palatino Linotype"/>
          <w:sz w:val="22"/>
          <w:szCs w:val="22"/>
          <w:lang w:val="en-GB"/>
        </w:rPr>
        <w:footnoteReference w:id="213"/>
      </w:r>
      <w:r w:rsidRPr="00440B9F">
        <w:rPr>
          <w:rFonts w:ascii="Palatino Linotype" w:hAnsi="Palatino Linotype"/>
          <w:sz w:val="22"/>
          <w:szCs w:val="22"/>
          <w:lang w:val="en-GB"/>
        </w:rPr>
        <w:t xml:space="preserve"> the new missionaries of the 1850s reignited this confrontational approach, but reconfigured it as to situate the world into a binary of ‘West’ against a homogenised ‘East’.</w:t>
      </w:r>
      <w:r w:rsidRPr="00440B9F">
        <w:rPr>
          <w:rStyle w:val="FootnoteReference"/>
          <w:rFonts w:ascii="Palatino Linotype" w:hAnsi="Palatino Linotype"/>
          <w:sz w:val="22"/>
          <w:szCs w:val="22"/>
          <w:lang w:val="en-GB"/>
        </w:rPr>
        <w:footnoteReference w:id="214"/>
      </w:r>
      <w:r w:rsidRPr="00440B9F">
        <w:rPr>
          <w:rFonts w:ascii="Palatino Linotype" w:hAnsi="Palatino Linotype"/>
          <w:sz w:val="22"/>
          <w:szCs w:val="22"/>
          <w:lang w:val="en-GB"/>
        </w:rPr>
        <w:t xml:space="preserve"> Even before arriving in Beirut, Henry Harris Jessup penned the verses: </w:t>
      </w:r>
    </w:p>
    <w:p w:rsidR="007F7DD4" w:rsidRPr="00440B9F" w:rsidRDefault="007F7DD4" w:rsidP="001761FF">
      <w:pPr>
        <w:pStyle w:val="BodyText"/>
        <w:jc w:val="center"/>
        <w:rPr>
          <w:rFonts w:ascii="Palatino Linotype" w:hAnsi="Palatino Linotype"/>
          <w:sz w:val="22"/>
          <w:szCs w:val="22"/>
          <w:lang w:val="en-GB"/>
        </w:rPr>
      </w:pPr>
      <w:r w:rsidRPr="00440B9F">
        <w:rPr>
          <w:rFonts w:ascii="Palatino Linotype" w:hAnsi="Palatino Linotype"/>
          <w:sz w:val="22"/>
          <w:szCs w:val="22"/>
          <w:lang w:val="en-GB"/>
        </w:rPr>
        <w:t xml:space="preserve">O prosper, Lord, their mission, </w:t>
      </w:r>
    </w:p>
    <w:p w:rsidR="007F7DD4" w:rsidRPr="00440B9F" w:rsidRDefault="007F7DD4" w:rsidP="001761FF">
      <w:pPr>
        <w:pStyle w:val="BodyText"/>
        <w:jc w:val="center"/>
        <w:rPr>
          <w:rFonts w:ascii="Palatino Linotype" w:hAnsi="Palatino Linotype"/>
          <w:sz w:val="22"/>
          <w:szCs w:val="22"/>
          <w:lang w:val="en-GB"/>
        </w:rPr>
      </w:pPr>
      <w:r w:rsidRPr="00440B9F">
        <w:rPr>
          <w:rFonts w:ascii="Palatino Linotype" w:hAnsi="Palatino Linotype"/>
          <w:sz w:val="22"/>
          <w:szCs w:val="22"/>
          <w:lang w:val="en-GB"/>
        </w:rPr>
        <w:t xml:space="preserve">With grace and power divine, </w:t>
      </w:r>
    </w:p>
    <w:p w:rsidR="007F7DD4" w:rsidRPr="00440B9F" w:rsidRDefault="007F7DD4" w:rsidP="001761FF">
      <w:pPr>
        <w:pStyle w:val="BodyText"/>
        <w:jc w:val="center"/>
        <w:rPr>
          <w:rFonts w:ascii="Palatino Linotype" w:hAnsi="Palatino Linotype"/>
          <w:sz w:val="22"/>
          <w:szCs w:val="22"/>
          <w:lang w:val="en-GB"/>
        </w:rPr>
      </w:pPr>
      <w:r w:rsidRPr="00440B9F">
        <w:rPr>
          <w:rFonts w:ascii="Palatino Linotype" w:hAnsi="Palatino Linotype"/>
          <w:sz w:val="22"/>
          <w:szCs w:val="22"/>
          <w:lang w:val="en-GB"/>
        </w:rPr>
        <w:t xml:space="preserve">And show to darkened Asia. </w:t>
      </w:r>
    </w:p>
    <w:p w:rsidR="007F7DD4" w:rsidRPr="00440B9F" w:rsidRDefault="007F7DD4" w:rsidP="001761FF">
      <w:pPr>
        <w:pStyle w:val="BodyText"/>
        <w:jc w:val="center"/>
        <w:rPr>
          <w:rFonts w:ascii="Palatino Linotype" w:hAnsi="Palatino Linotype"/>
          <w:sz w:val="22"/>
          <w:szCs w:val="22"/>
          <w:lang w:val="en-GB"/>
        </w:rPr>
      </w:pPr>
      <w:r w:rsidRPr="00440B9F">
        <w:rPr>
          <w:rFonts w:ascii="Palatino Linotype" w:hAnsi="Palatino Linotype"/>
          <w:sz w:val="22"/>
          <w:szCs w:val="22"/>
          <w:lang w:val="en-GB"/>
        </w:rPr>
        <w:t xml:space="preserve">They great and good design. </w:t>
      </w:r>
    </w:p>
    <w:p w:rsidR="007F7DD4" w:rsidRPr="00440B9F" w:rsidRDefault="007F7DD4" w:rsidP="001761FF">
      <w:pPr>
        <w:pStyle w:val="BodyText"/>
        <w:jc w:val="center"/>
        <w:rPr>
          <w:rFonts w:ascii="Palatino Linotype" w:hAnsi="Palatino Linotype"/>
          <w:sz w:val="22"/>
          <w:szCs w:val="22"/>
          <w:lang w:val="en-GB"/>
        </w:rPr>
      </w:pPr>
      <w:r w:rsidRPr="00440B9F">
        <w:rPr>
          <w:rFonts w:ascii="Palatino Linotype" w:hAnsi="Palatino Linotype"/>
          <w:sz w:val="22"/>
          <w:szCs w:val="22"/>
          <w:lang w:val="en-GB"/>
        </w:rPr>
        <w:t xml:space="preserve">From Islam’s cruel darkness, </w:t>
      </w:r>
    </w:p>
    <w:p w:rsidR="007F7DD4" w:rsidRPr="00440B9F" w:rsidRDefault="007F7DD4" w:rsidP="001761FF">
      <w:pPr>
        <w:pStyle w:val="BodyText"/>
        <w:jc w:val="center"/>
        <w:rPr>
          <w:rFonts w:ascii="Palatino Linotype" w:hAnsi="Palatino Linotype"/>
          <w:sz w:val="22"/>
          <w:szCs w:val="22"/>
          <w:lang w:val="en-GB"/>
        </w:rPr>
      </w:pPr>
      <w:r w:rsidRPr="00440B9F">
        <w:rPr>
          <w:rFonts w:ascii="Palatino Linotype" w:hAnsi="Palatino Linotype"/>
          <w:sz w:val="22"/>
          <w:szCs w:val="22"/>
          <w:lang w:val="en-GB"/>
        </w:rPr>
        <w:t xml:space="preserve">From Romish fraud and guile, </w:t>
      </w:r>
    </w:p>
    <w:p w:rsidR="007F7DD4" w:rsidRPr="00440B9F" w:rsidRDefault="007F7DD4" w:rsidP="001761FF">
      <w:pPr>
        <w:pStyle w:val="BodyText"/>
        <w:jc w:val="center"/>
        <w:rPr>
          <w:rFonts w:ascii="Palatino Linotype" w:hAnsi="Palatino Linotype"/>
          <w:sz w:val="22"/>
          <w:szCs w:val="22"/>
          <w:lang w:val="en-GB"/>
        </w:rPr>
      </w:pPr>
      <w:r w:rsidRPr="00440B9F">
        <w:rPr>
          <w:rFonts w:ascii="Palatino Linotype" w:hAnsi="Palatino Linotype"/>
          <w:sz w:val="22"/>
          <w:szCs w:val="22"/>
          <w:lang w:val="en-GB"/>
        </w:rPr>
        <w:t xml:space="preserve">From Satan’s fierce devices, </w:t>
      </w:r>
    </w:p>
    <w:p w:rsidR="007F7DD4" w:rsidRDefault="007F7DD4" w:rsidP="001761FF">
      <w:pPr>
        <w:pStyle w:val="BodyText"/>
        <w:jc w:val="center"/>
        <w:rPr>
          <w:rFonts w:ascii="Palatino Linotype" w:hAnsi="Palatino Linotype"/>
          <w:lang w:val="en-GB"/>
        </w:rPr>
      </w:pPr>
      <w:r w:rsidRPr="00440B9F">
        <w:rPr>
          <w:rFonts w:ascii="Palatino Linotype" w:hAnsi="Palatino Linotype"/>
          <w:sz w:val="22"/>
          <w:szCs w:val="22"/>
          <w:lang w:val="en-GB"/>
        </w:rPr>
        <w:t>From all that can defile.</w:t>
      </w:r>
      <w:r w:rsidRPr="00440B9F">
        <w:rPr>
          <w:rStyle w:val="FootnoteReference"/>
          <w:rFonts w:ascii="Palatino Linotype" w:hAnsi="Palatino Linotype"/>
          <w:sz w:val="22"/>
          <w:szCs w:val="22"/>
          <w:lang w:val="en-GB"/>
        </w:rPr>
        <w:footnoteReference w:id="215"/>
      </w:r>
      <w:r w:rsidRPr="00440B9F">
        <w:rPr>
          <w:rFonts w:ascii="Palatino Linotype" w:hAnsi="Palatino Linotype"/>
          <w:sz w:val="22"/>
          <w:szCs w:val="22"/>
          <w:lang w:val="en-GB"/>
        </w:rPr>
        <w:t xml:space="preserve"> </w:t>
      </w:r>
    </w:p>
    <w:p w:rsidR="007F7DD4" w:rsidRPr="00440B9F" w:rsidRDefault="007F7DD4" w:rsidP="001761FF">
      <w:pPr>
        <w:pStyle w:val="BodyText"/>
        <w:jc w:val="center"/>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For Jessup, all inhabitants of the ‘East’, whether Muslim or Christian, were ‘corrupt and immoral.’</w:t>
      </w:r>
      <w:r w:rsidRPr="00440B9F">
        <w:rPr>
          <w:rStyle w:val="FootnoteReference"/>
          <w:rFonts w:ascii="Palatino Linotype" w:hAnsi="Palatino Linotype"/>
          <w:sz w:val="22"/>
          <w:szCs w:val="22"/>
          <w:lang w:val="en-GB"/>
        </w:rPr>
        <w:footnoteReference w:id="216"/>
      </w:r>
      <w:r w:rsidRPr="00440B9F">
        <w:rPr>
          <w:rFonts w:ascii="Palatino Linotype" w:hAnsi="Palatino Linotype"/>
          <w:sz w:val="22"/>
          <w:szCs w:val="22"/>
          <w:lang w:val="en-GB"/>
        </w:rPr>
        <w:t xml:space="preserve"> Thus, while the opinions and policies of the earlier missionaries created an inequality based upon racial difference, the opinions of the later missionaries were more patronising and hostile against their Syrian neighbours, which stirred tensions within the Protestant Circle.</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The policies of the ABCFM’s Prudential Committee in Boston also created disunity amongst the male ABCFM missionaries in Syria. This was particularly true for the years that Rufus Anderson served as Corresponding Secretary, 1833 to 1866, but especially during the 1850s. Through letters of instruction, the restriction of funds and direct visitations,</w:t>
      </w:r>
      <w:r w:rsidRPr="00440B9F">
        <w:rPr>
          <w:rStyle w:val="FootnoteReference"/>
          <w:rFonts w:ascii="Palatino Linotype" w:hAnsi="Palatino Linotype"/>
          <w:sz w:val="22"/>
          <w:szCs w:val="22"/>
          <w:lang w:val="en-GB"/>
        </w:rPr>
        <w:footnoteReference w:id="217"/>
      </w:r>
      <w:r w:rsidRPr="00440B9F">
        <w:rPr>
          <w:rFonts w:ascii="Palatino Linotype" w:hAnsi="Palatino Linotype"/>
          <w:sz w:val="22"/>
          <w:szCs w:val="22"/>
          <w:lang w:val="en-GB"/>
        </w:rPr>
        <w:t xml:space="preserve"> Anderson asserted his view that the ‘governing object of every mission and of every missionary should not be to liberate, to educate, to enlightened, to polish, but to </w:t>
      </w:r>
      <w:r w:rsidRPr="00440B9F">
        <w:rPr>
          <w:rFonts w:ascii="Palatino Linotype" w:hAnsi="Palatino Linotype"/>
          <w:i/>
          <w:sz w:val="22"/>
          <w:szCs w:val="22"/>
          <w:lang w:val="en-GB"/>
        </w:rPr>
        <w:t xml:space="preserve">convert </w:t>
      </w:r>
      <w:r w:rsidRPr="00440B9F">
        <w:rPr>
          <w:rFonts w:ascii="Palatino Linotype" w:hAnsi="Palatino Linotype"/>
          <w:sz w:val="22"/>
          <w:szCs w:val="22"/>
          <w:lang w:val="en-GB"/>
        </w:rPr>
        <w:t>men’.</w:t>
      </w:r>
      <w:r w:rsidRPr="00440B9F">
        <w:rPr>
          <w:rStyle w:val="FootnoteReference"/>
          <w:rFonts w:ascii="Palatino Linotype" w:hAnsi="Palatino Linotype"/>
          <w:sz w:val="22"/>
          <w:szCs w:val="22"/>
          <w:lang w:val="en-GB"/>
        </w:rPr>
        <w:footnoteReference w:id="218"/>
      </w:r>
      <w:r w:rsidRPr="00440B9F">
        <w:rPr>
          <w:rFonts w:ascii="Palatino Linotype" w:hAnsi="Palatino Linotype"/>
          <w:sz w:val="22"/>
          <w:szCs w:val="22"/>
          <w:lang w:val="en-GB"/>
        </w:rPr>
        <w:t xml:space="preserve"> This was a direct criticism of the educational services employed by the missionaries to engage with Syrians, which, instead of producing more converts and Native Pastors, created a body of well-educated, but questionably revived Syrians.</w:t>
      </w:r>
      <w:r w:rsidRPr="00440B9F">
        <w:rPr>
          <w:rStyle w:val="FootnoteReference"/>
          <w:rFonts w:ascii="Palatino Linotype" w:hAnsi="Palatino Linotype"/>
          <w:sz w:val="22"/>
          <w:szCs w:val="22"/>
          <w:lang w:val="en-GB"/>
        </w:rPr>
        <w:footnoteReference w:id="219"/>
      </w:r>
      <w:r w:rsidRPr="00440B9F">
        <w:rPr>
          <w:rFonts w:ascii="Palatino Linotype" w:hAnsi="Palatino Linotype"/>
          <w:sz w:val="22"/>
          <w:szCs w:val="22"/>
          <w:lang w:val="en-GB"/>
        </w:rPr>
        <w:t xml:space="preserve"> To correct this perceived problem, Anderson demanded in 1854 that the missionaries scatter from their central station at Beirut to locations across Mount Lebanon, in order to better spread the Gospel message, but which effectively pulled resources away from educational services. Some missionaries disapproved of this change, so that by 1857, Henry and Catherine DeForest returned to the United States, while Abby and Daniel Bliss voiced frustrations at being relocated to Souk el-Gharb, ‘where no missionary had ever been stationed before.’</w:t>
      </w:r>
      <w:r w:rsidRPr="00440B9F">
        <w:rPr>
          <w:rStyle w:val="FootnoteReference"/>
          <w:rFonts w:ascii="Palatino Linotype" w:hAnsi="Palatino Linotype"/>
          <w:sz w:val="22"/>
          <w:szCs w:val="22"/>
          <w:lang w:val="en-GB"/>
        </w:rPr>
        <w:footnoteReference w:id="220"/>
      </w:r>
      <w:r w:rsidRPr="00440B9F">
        <w:rPr>
          <w:rFonts w:ascii="Palatino Linotype" w:hAnsi="Palatino Linotype"/>
          <w:sz w:val="22"/>
          <w:szCs w:val="22"/>
          <w:lang w:val="en-GB"/>
        </w:rPr>
        <w:t xml:space="preserve"> These tensions persisted after 1860, for John and Loanza Benton were released from their missionary appointments in 1861 and the Syrian Protestant College founded by former ABCFM missionaries in 1863.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 xml:space="preserve">Other problems challenged the centrality of the male ABCFM missionaries in the Circle. Throughout the 1850s, Butrus al-Bustani articulated his frustrations with the ABCFM and the functioning of the Circle. Despite his central role as an important Native Assistant, al-Bustani wrote to Eli Smith in 1852 stating that: ‘I take the liberty to inform you that my present </w:t>
      </w:r>
      <w:r w:rsidRPr="00440B9F">
        <w:rPr>
          <w:rFonts w:ascii="Palatino Linotype" w:hAnsi="Palatino Linotype"/>
          <w:i/>
          <w:sz w:val="22"/>
          <w:szCs w:val="22"/>
          <w:lang w:val="en-GB"/>
        </w:rPr>
        <w:t>reservation</w:t>
      </w:r>
      <w:r w:rsidRPr="00440B9F">
        <w:rPr>
          <w:rFonts w:ascii="Palatino Linotype" w:hAnsi="Palatino Linotype"/>
          <w:sz w:val="22"/>
          <w:szCs w:val="22"/>
          <w:lang w:val="en-GB"/>
        </w:rPr>
        <w:t xml:space="preserve"> is to accept of no office either religious as secular’ that would place him under the supervision of the ABCFM.</w:t>
      </w:r>
      <w:r w:rsidRPr="00440B9F">
        <w:rPr>
          <w:rStyle w:val="FootnoteReference"/>
          <w:rFonts w:ascii="Palatino Linotype" w:hAnsi="Palatino Linotype"/>
          <w:sz w:val="22"/>
          <w:szCs w:val="22"/>
          <w:lang w:val="en-GB"/>
        </w:rPr>
        <w:footnoteReference w:id="221"/>
      </w:r>
      <w:r w:rsidRPr="00440B9F">
        <w:rPr>
          <w:rFonts w:ascii="Palatino Linotype" w:hAnsi="Palatino Linotype"/>
          <w:sz w:val="22"/>
          <w:szCs w:val="22"/>
          <w:lang w:val="en-GB"/>
        </w:rPr>
        <w:t xml:space="preserve"> Four years later, al-Bustani penned a scathing criticism of the ABCFM missionaries and American consuls, who were either reluctant or unable to protect his colleague Giorgior Gemmal, the American Vice-Consul at Jaffa.</w:t>
      </w:r>
      <w:r w:rsidRPr="00440B9F">
        <w:rPr>
          <w:rStyle w:val="FootnoteReference"/>
          <w:rFonts w:ascii="Palatino Linotype" w:hAnsi="Palatino Linotype"/>
          <w:sz w:val="22"/>
          <w:szCs w:val="22"/>
          <w:lang w:val="en-GB"/>
        </w:rPr>
        <w:footnoteReference w:id="222"/>
      </w:r>
      <w:r w:rsidRPr="00440B9F">
        <w:rPr>
          <w:rFonts w:ascii="Palatino Linotype" w:hAnsi="Palatino Linotype"/>
          <w:sz w:val="22"/>
          <w:szCs w:val="22"/>
          <w:lang w:val="en-GB"/>
        </w:rPr>
        <w:t xml:space="preserve"> In light of these frustrations, al-Bustani pursued a number of activities that were independent of the ABCFM, such as organising educational societies such as </w:t>
      </w:r>
      <w:r w:rsidRPr="00440B9F">
        <w:rPr>
          <w:rFonts w:ascii="Palatino Linotype" w:hAnsi="Palatino Linotype"/>
          <w:i/>
          <w:sz w:val="22"/>
          <w:szCs w:val="22"/>
          <w:lang w:val="en-GB"/>
        </w:rPr>
        <w:t>al-Jam‛iyya al-‛Ilmiyya al-Sūriyya</w:t>
      </w:r>
      <w:r w:rsidRPr="00440B9F">
        <w:rPr>
          <w:rFonts w:ascii="Palatino Linotype" w:hAnsi="Palatino Linotype"/>
          <w:sz w:val="22"/>
          <w:szCs w:val="22"/>
          <w:lang w:val="en-GB"/>
        </w:rPr>
        <w:t xml:space="preserve"> (Syrian Scientific Society) in 1857 and </w:t>
      </w:r>
      <w:r w:rsidRPr="00440B9F">
        <w:rPr>
          <w:rFonts w:ascii="Palatino Linotype" w:hAnsi="Palatino Linotype"/>
          <w:i/>
          <w:sz w:val="22"/>
          <w:szCs w:val="22"/>
          <w:lang w:val="en-GB"/>
        </w:rPr>
        <w:t xml:space="preserve">al-Jam‛iyya Bairut al-Injiliyya </w:t>
      </w:r>
      <w:r w:rsidRPr="00440B9F">
        <w:rPr>
          <w:rFonts w:ascii="Palatino Linotype" w:hAnsi="Palatino Linotype"/>
          <w:sz w:val="22"/>
          <w:szCs w:val="22"/>
          <w:lang w:val="en-GB"/>
        </w:rPr>
        <w:t xml:space="preserve">(Beirut Bible Society) in 1862; establishing </w:t>
      </w:r>
      <w:r w:rsidRPr="00440B9F">
        <w:rPr>
          <w:rFonts w:ascii="Palatino Linotype" w:hAnsi="Palatino Linotype"/>
          <w:i/>
          <w:sz w:val="22"/>
          <w:szCs w:val="22"/>
          <w:lang w:val="en-GB"/>
        </w:rPr>
        <w:t>al-Madrasa al-Wataniyya</w:t>
      </w:r>
      <w:r w:rsidRPr="00440B9F">
        <w:rPr>
          <w:rFonts w:ascii="Palatino Linotype" w:hAnsi="Palatino Linotype"/>
          <w:sz w:val="22"/>
          <w:szCs w:val="22"/>
          <w:lang w:val="en-GB"/>
        </w:rPr>
        <w:t xml:space="preserve"> (the National School) in 1863; and founding the journal </w:t>
      </w:r>
      <w:r w:rsidRPr="00440B9F">
        <w:rPr>
          <w:rFonts w:ascii="Palatino Linotype" w:hAnsi="Palatino Linotype"/>
          <w:i/>
          <w:sz w:val="22"/>
          <w:szCs w:val="22"/>
          <w:lang w:val="en-GB"/>
        </w:rPr>
        <w:t xml:space="preserve">Al-Jenin </w:t>
      </w:r>
      <w:r w:rsidRPr="00440B9F">
        <w:rPr>
          <w:rFonts w:ascii="Palatino Linotype" w:hAnsi="Palatino Linotype"/>
          <w:sz w:val="22"/>
          <w:szCs w:val="22"/>
          <w:lang w:val="en-GB"/>
        </w:rPr>
        <w:t>(1870-1883), which was published by his son, Selim.</w:t>
      </w:r>
      <w:r w:rsidRPr="00440B9F">
        <w:rPr>
          <w:rStyle w:val="FootnoteReference"/>
          <w:rFonts w:ascii="Palatino Linotype" w:hAnsi="Palatino Linotype"/>
          <w:sz w:val="22"/>
          <w:szCs w:val="22"/>
          <w:lang w:val="en-GB"/>
        </w:rPr>
        <w:footnoteReference w:id="223"/>
      </w:r>
      <w:r w:rsidRPr="00440B9F">
        <w:rPr>
          <w:rFonts w:ascii="Palatino Linotype" w:hAnsi="Palatino Linotype"/>
          <w:sz w:val="22"/>
          <w:szCs w:val="22"/>
          <w:lang w:val="en-GB"/>
        </w:rPr>
        <w:t xml:space="preserve"> While these activities were separate from the ABCFM, they nevertheless affirmed aspects of the Protestant capital examined above. Al-Bustani did not reject the new hybrid culture that defined this community, but rather, the constraints placed upon him by the ABCFM missionaries. It is important to remember that al-Bustani’s wife, Rahil, was herself deeply connected to the Protestant Circle. One can surmise that even if Butrus distanced himself from the ABCFM missionaries (especially after Eli Smith’s death), that his wife would find it difficult to completely break her connection to the Protestant community, which was fundamental to her own social and religious identity.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challenge to the normative definitions of Protestantism arose with the Protestant Levantine community. As introduced above, these individuals proclaimed to be Protestants due to their education at ABCFM schools, work for the Protestants, or employment by American or British diplomats. The ABCFM missionaries argued that these men were not truly revived Protestants for they pursued ‘interested’ activities by applying their knowledge of the English language and Protestant culture to gain wealth and prestige.</w:t>
      </w:r>
      <w:r w:rsidRPr="00440B9F">
        <w:rPr>
          <w:rStyle w:val="FootnoteReference"/>
          <w:rFonts w:ascii="Palatino Linotype" w:hAnsi="Palatino Linotype"/>
          <w:sz w:val="22"/>
          <w:szCs w:val="22"/>
          <w:lang w:val="en-GB"/>
        </w:rPr>
        <w:footnoteReference w:id="224"/>
      </w:r>
      <w:r w:rsidRPr="00440B9F">
        <w:rPr>
          <w:rFonts w:ascii="Palatino Linotype" w:hAnsi="Palatino Linotype"/>
          <w:sz w:val="22"/>
          <w:szCs w:val="22"/>
          <w:lang w:val="en-GB"/>
        </w:rPr>
        <w:t xml:space="preserve"> Although chastised by the ABCFM, the independent evocation of a Protestant identity by Protestant Levantines, particularly in printed works and public lectures, challenged the ABCFM’s control over how Protestantism was defined within the Syrian region, and how this Protestantism was presented to the world.</w:t>
      </w:r>
      <w:r w:rsidRPr="00440B9F">
        <w:rPr>
          <w:rStyle w:val="FootnoteReference"/>
          <w:rFonts w:ascii="Palatino Linotype" w:hAnsi="Palatino Linotype"/>
          <w:sz w:val="22"/>
          <w:szCs w:val="22"/>
          <w:lang w:val="en-GB"/>
        </w:rPr>
        <w:footnoteReference w:id="225"/>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While both Butrus al-Bustani and the Protestant Levantines advocated alternative definitions of Protestant culture, novel definitions of Protestant theology were introduced by non-ABCFM Protestant missionaries, which also challenged the centrality of the ABCFM missionaries. Until the late 1850s, many of the non-ABCFM Protestant missionaries and travellers to Syria functioned as members of the Protestant Circle, for they worked with the ABCFM missionaries, participated in the Circle’s religious services and, if they died in Syria, were buried in the cemetery adjacent to Burj Bird.</w:t>
      </w:r>
      <w:r w:rsidRPr="00440B9F">
        <w:rPr>
          <w:rStyle w:val="FootnoteReference"/>
          <w:rFonts w:ascii="Palatino Linotype" w:hAnsi="Palatino Linotype"/>
          <w:sz w:val="22"/>
          <w:szCs w:val="22"/>
          <w:lang w:val="en-GB"/>
        </w:rPr>
        <w:footnoteReference w:id="226"/>
      </w:r>
      <w:r w:rsidRPr="00440B9F">
        <w:rPr>
          <w:rFonts w:ascii="Palatino Linotype" w:hAnsi="Palatino Linotype"/>
          <w:sz w:val="22"/>
          <w:szCs w:val="22"/>
          <w:lang w:val="en-GB"/>
        </w:rPr>
        <w:t xml:space="preserve"> By 1860 however, the number of non-ABCFM missionaries in Syria increased substantially and challenged the monopoly previously held by the ABCFM over Protestant theology and religious practices in Syria. Some of these ‘alternatives’ promoted a culture and faith that was similar to the normative terms presented above, such as the English Elizabeth Bowen-Thompson and the Prussian Deaconesses. Others however did not resonate with the Protestantism of the ABCFM and were perceived as threats to the Circle. This included the Free Church of Scotland, whose missionaries worked with the Saleeby family to run schools upon Mount Lebanon, and missionaries from heterodox Protestant Churches, such as the Church of Jesus Christ of Latter-Day Saints (also called the Mormons).</w:t>
      </w:r>
      <w:r w:rsidRPr="00440B9F">
        <w:rPr>
          <w:rStyle w:val="FootnoteReference"/>
          <w:rFonts w:ascii="Palatino Linotype" w:hAnsi="Palatino Linotype"/>
          <w:sz w:val="22"/>
          <w:szCs w:val="22"/>
          <w:lang w:val="en-GB"/>
        </w:rPr>
        <w:footnoteReference w:id="227"/>
      </w:r>
      <w:r w:rsidRPr="00440B9F">
        <w:rPr>
          <w:rFonts w:ascii="Palatino Linotype" w:hAnsi="Palatino Linotype"/>
          <w:sz w:val="22"/>
          <w:szCs w:val="22"/>
          <w:lang w:val="en-GB"/>
        </w:rPr>
        <w:t xml:space="preserve"> </w:t>
      </w: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ab/>
        <w:t>Another challenge to the ABCFM’s control of Protestantism emerged with the independent assertion of Protestantism by groups and individuals living in Syria. The ABCFM missionaries were surprised when Syrians, previously unknown and not associated with the Circle, proclaimed to be Protestants. The ABCFM was cautious of accepting such converts and questioned their true intentions.</w:t>
      </w:r>
      <w:r w:rsidRPr="00440B9F">
        <w:rPr>
          <w:rStyle w:val="FootnoteReference"/>
          <w:rFonts w:ascii="Palatino Linotype" w:hAnsi="Palatino Linotype"/>
          <w:sz w:val="22"/>
          <w:szCs w:val="22"/>
          <w:lang w:val="en-GB"/>
        </w:rPr>
        <w:footnoteReference w:id="228"/>
      </w:r>
      <w:r w:rsidRPr="00440B9F">
        <w:rPr>
          <w:rFonts w:ascii="Palatino Linotype" w:hAnsi="Palatino Linotype"/>
          <w:sz w:val="22"/>
          <w:szCs w:val="22"/>
          <w:lang w:val="en-GB"/>
        </w:rPr>
        <w:t xml:space="preserve"> However, the number of these incidents increased, and included mass conversions at Hasbaya, Cana and Alma during the 1840s and 1850s, which forced a change mission policy in order to address the problems they faced as a result of their conversion.</w:t>
      </w:r>
      <w:r w:rsidRPr="00440B9F">
        <w:rPr>
          <w:rStyle w:val="FootnoteReference"/>
          <w:rFonts w:ascii="Palatino Linotype" w:hAnsi="Palatino Linotype"/>
          <w:sz w:val="22"/>
          <w:szCs w:val="22"/>
          <w:lang w:val="en-GB"/>
        </w:rPr>
        <w:footnoteReference w:id="229"/>
      </w:r>
      <w:r w:rsidRPr="00440B9F">
        <w:rPr>
          <w:rFonts w:ascii="Palatino Linotype" w:hAnsi="Palatino Linotype"/>
          <w:sz w:val="22"/>
          <w:szCs w:val="22"/>
          <w:lang w:val="en-GB"/>
        </w:rPr>
        <w:t xml:space="preserve"> It is important to recognise that the ABCFM missionaries considered these locations as too dangerous for them to relocate to and sent Native Assistants to guide the religious reformation of the new converts.</w:t>
      </w:r>
      <w:r w:rsidRPr="00440B9F">
        <w:rPr>
          <w:rStyle w:val="FootnoteReference"/>
          <w:rFonts w:ascii="Palatino Linotype" w:hAnsi="Palatino Linotype"/>
          <w:sz w:val="22"/>
          <w:szCs w:val="22"/>
          <w:lang w:val="en-GB"/>
        </w:rPr>
        <w:footnoteReference w:id="230"/>
      </w:r>
      <w:r w:rsidRPr="00440B9F">
        <w:rPr>
          <w:rFonts w:ascii="Palatino Linotype" w:hAnsi="Palatino Linotype"/>
          <w:sz w:val="22"/>
          <w:szCs w:val="22"/>
          <w:lang w:val="en-GB"/>
        </w:rPr>
        <w:t xml:space="preserve"> As a result, the Protestantism taught to the new converts was not directly controlled by the ABCFM missionaries, but was channelled through the Syrian Protestants, like Butrus and Rahil al-Bustani and John and Salome Wortabet. </w:t>
      </w:r>
    </w:p>
    <w:p w:rsidR="007F7DD4" w:rsidRPr="00440B9F" w:rsidRDefault="007F7DD4" w:rsidP="001761FF">
      <w:pPr>
        <w:pStyle w:val="BodyText"/>
        <w:spacing w:line="360" w:lineRule="auto"/>
        <w:jc w:val="both"/>
        <w:rPr>
          <w:rFonts w:ascii="Palatino Linotype" w:hAnsi="Palatino Linotype"/>
          <w:sz w:val="22"/>
          <w:szCs w:val="22"/>
          <w:lang w:val="en-GB"/>
        </w:rPr>
      </w:pPr>
    </w:p>
    <w:p w:rsidR="007F7DD4" w:rsidRPr="00440B9F" w:rsidRDefault="007F7DD4" w:rsidP="001761FF">
      <w:pPr>
        <w:pStyle w:val="BodyText"/>
        <w:spacing w:line="360" w:lineRule="auto"/>
        <w:jc w:val="both"/>
        <w:rPr>
          <w:rFonts w:ascii="Palatino Linotype" w:hAnsi="Palatino Linotype"/>
          <w:sz w:val="22"/>
          <w:szCs w:val="22"/>
          <w:lang w:val="en-GB"/>
        </w:rPr>
      </w:pPr>
      <w:r w:rsidRPr="00440B9F">
        <w:rPr>
          <w:rFonts w:ascii="Palatino Linotype" w:hAnsi="Palatino Linotype"/>
          <w:sz w:val="22"/>
          <w:szCs w:val="22"/>
          <w:lang w:val="en-GB"/>
        </w:rPr>
        <w:t>This chapter introduced the Protestant Circle that developed in Beirut and on Mount Lebanon from 1823 to 1860. It presented the different groups that composed the Protestant Circle and the spaces where these persons met and interacted. It was shown that Beirut, particularly its suburbs, was an import location for these encounters and activities. This chapter also highlighted the structured relationships that emerged amongst the members of this new community, which reflected and reinforced the central position of the ABCFM male missionaries. A division based upon race was shown to have significantly affected the relationships amongst Protestants and the ways in which Protestant culture and religion were expressed. Nevertheless, while the ABCFM missionaries’ definition of Protestant social, cultural and religious capital functioned as the normative terms for this community, their control was never total. Alternatives and contestations emerged throughout the period under review, so that the culture and religion of this community reflected the hybridity of its members, despite the persistence of structural inequalities.</w:t>
      </w:r>
    </w:p>
    <w:p w:rsidR="007F7DD4" w:rsidRPr="00440B9F" w:rsidRDefault="007F7DD4" w:rsidP="001761FF">
      <w:pPr>
        <w:pStyle w:val="BodyText"/>
        <w:spacing w:line="360" w:lineRule="auto"/>
        <w:jc w:val="both"/>
        <w:rPr>
          <w:rFonts w:ascii="Palatino Linotype" w:hAnsi="Palatino Linotype"/>
          <w:sz w:val="22"/>
          <w:szCs w:val="22"/>
          <w:lang w:val="en-GB"/>
        </w:rPr>
        <w:sectPr w:rsidR="007F7DD4" w:rsidRPr="00440B9F" w:rsidSect="001761FF">
          <w:footerReference w:type="default" r:id="rId12"/>
          <w:footnotePr>
            <w:numRestart w:val="eachSect"/>
          </w:footnotePr>
          <w:pgSz w:w="12240" w:h="15840"/>
          <w:pgMar w:top="1134" w:right="1418" w:bottom="2268" w:left="2275" w:header="562" w:footer="562" w:gutter="0"/>
          <w:cols w:space="720"/>
        </w:sectPr>
      </w:pPr>
    </w:p>
    <w:p w:rsidR="00031E63" w:rsidRPr="00242993" w:rsidRDefault="00031E63">
      <w:pPr>
        <w:pStyle w:val="BodyText"/>
        <w:spacing w:line="360" w:lineRule="auto"/>
        <w:jc w:val="both"/>
        <w:rPr>
          <w:rFonts w:ascii="Palatino Linotype" w:hAnsi="Palatino Linotype"/>
          <w:sz w:val="22"/>
          <w:szCs w:val="22"/>
        </w:rPr>
      </w:pPr>
    </w:p>
    <w:sectPr w:rsidR="00031E63" w:rsidRPr="00242993" w:rsidSect="00C57C03">
      <w:footerReference w:type="default" r:id="rId13"/>
      <w:endnotePr>
        <w:numFmt w:val="decimal"/>
      </w:endnotePr>
      <w:pgSz w:w="12240" w:h="15840"/>
      <w:pgMar w:top="1134" w:right="1418" w:bottom="2268" w:left="2275" w:header="562" w:footer="562" w:gutter="0"/>
      <w:pgNumType w:start="105"/>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C11C5" w:rsidRDefault="005C11C5">
      <w:r>
        <w:separator/>
      </w:r>
    </w:p>
  </w:endnote>
  <w:endnote w:type="continuationSeparator" w:id="1">
    <w:p w:rsidR="005C11C5" w:rsidRDefault="005C11C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horndale">
    <w:altName w:val="Times New Roman"/>
    <w:charset w:val="00"/>
    <w:family w:val="roman"/>
    <w:pitch w:val="variable"/>
    <w:sig w:usb0="00000000" w:usb1="00000000" w:usb2="00000000" w:usb3="00000000" w:csb0="00000000" w:csb1="00000000"/>
  </w:font>
  <w:font w:name="HG Mincho Light J">
    <w:altName w:val="Times New Roman"/>
    <w:charset w:val="00"/>
    <w:family w:val="auto"/>
    <w:pitch w:val="variable"/>
    <w:sig w:usb0="00000000" w:usb1="00000000" w:usb2="00000000" w:usb3="00000000" w:csb0="00000000"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Palatino Linotype">
    <w:panose1 w:val="02040502050505030304"/>
    <w:charset w:val="00"/>
    <w:family w:val="roman"/>
    <w:pitch w:val="variable"/>
    <w:sig w:usb0="E0000387" w:usb1="40000013" w:usb2="00000000" w:usb3="00000000" w:csb0="0000019F" w:csb1="00000000"/>
  </w:font>
  <w:font w:name="KoufrUni">
    <w:panose1 w:val="02000603080000020003"/>
    <w:charset w:val="00"/>
    <w:family w:val="auto"/>
    <w:pitch w:val="variable"/>
    <w:sig w:usb0="A00000FF" w:usb1="00000000" w:usb2="00000000" w:usb3="00000000" w:csb0="00000019"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7DD4" w:rsidRDefault="007F7DD4">
    <w:pPr>
      <w:pStyle w:val="Footer"/>
      <w:jc w:val="right"/>
    </w:pPr>
    <w:fldSimple w:instr=" PAGE   \* MERGEFORMAT ">
      <w:r w:rsidR="005C11C5">
        <w:rPr>
          <w:noProof/>
        </w:rPr>
        <w:t>1</w:t>
      </w:r>
    </w:fldSimple>
  </w:p>
  <w:p w:rsidR="007F7DD4" w:rsidRDefault="007F7DD4">
    <w:pPr>
      <w:pStyle w:val="BodyText"/>
      <w:spacing w:after="28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7098" w:rsidRDefault="008F62BE">
    <w:pPr>
      <w:pStyle w:val="Footer"/>
      <w:jc w:val="right"/>
    </w:pPr>
    <w:fldSimple w:instr=" PAGE   \* MERGEFORMAT ">
      <w:r w:rsidR="00837E7E">
        <w:rPr>
          <w:noProof/>
        </w:rPr>
        <w:t>105</w:t>
      </w:r>
    </w:fldSimple>
  </w:p>
  <w:p w:rsidR="005E7098" w:rsidRDefault="005E7098">
    <w:pPr>
      <w:pStyle w:val="BodyText"/>
      <w:spacing w:after="28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C11C5" w:rsidRDefault="005C11C5">
      <w:r>
        <w:separator/>
      </w:r>
    </w:p>
  </w:footnote>
  <w:footnote w:type="continuationSeparator" w:id="1">
    <w:p w:rsidR="005C11C5" w:rsidRDefault="005C11C5">
      <w:r>
        <w:continuationSeparator/>
      </w:r>
    </w:p>
  </w:footnote>
  <w:footnote w:id="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‘Missions to “Nominal Christians”’: 100.</w:t>
      </w:r>
    </w:p>
  </w:footnote>
  <w:footnote w:id="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Anderson,</w:t>
      </w:r>
      <w:r w:rsidRPr="00C72FD6">
        <w:rPr>
          <w:rFonts w:ascii="Palatino Linotype" w:hAnsi="Palatino Linotype"/>
          <w:i/>
          <w:lang w:val="en-GB"/>
        </w:rPr>
        <w:t xml:space="preserve"> HM</w:t>
      </w:r>
      <w:r w:rsidRPr="00C72FD6">
        <w:rPr>
          <w:rFonts w:ascii="Palatino Linotype" w:hAnsi="Palatino Linotype"/>
          <w:lang w:val="en-GB"/>
        </w:rPr>
        <w:t>: 9-40; Tibawi, ‘The American Missionaries in Beirut’: 140-144.</w:t>
      </w:r>
    </w:p>
  </w:footnote>
  <w:footnote w:id="4">
    <w:p w:rsidR="007F7DD4" w:rsidRPr="00E34B80" w:rsidRDefault="007F7DD4" w:rsidP="001761FF">
      <w:pPr>
        <w:pStyle w:val="FootnoteText"/>
        <w:ind w:left="90" w:hanging="90"/>
        <w:jc w:val="both"/>
        <w:rPr>
          <w:rFonts w:ascii="Palatino Linotype" w:hAnsi="Palatino Linotype"/>
          <w:i/>
        </w:rPr>
      </w:pPr>
      <w:r w:rsidRPr="00E34B80">
        <w:rPr>
          <w:rStyle w:val="FootnoteReference"/>
          <w:rFonts w:ascii="Palatino Linotype" w:hAnsi="Palatino Linotype"/>
        </w:rPr>
        <w:footnoteRef/>
      </w:r>
      <w:r w:rsidRPr="00E34B80">
        <w:rPr>
          <w:rFonts w:ascii="Palatino Linotype" w:hAnsi="Palatino Linotype"/>
        </w:rPr>
        <w:t xml:space="preserve"> </w:t>
      </w:r>
      <w:r>
        <w:rPr>
          <w:rFonts w:ascii="Palatino Linotype" w:hAnsi="Palatino Linotype"/>
        </w:rPr>
        <w:t>The activities of these men</w:t>
      </w:r>
      <w:r w:rsidRPr="00E34B80">
        <w:rPr>
          <w:rFonts w:ascii="Palatino Linotype" w:hAnsi="Palatino Linotype"/>
        </w:rPr>
        <w:t xml:space="preserve"> ha</w:t>
      </w:r>
      <w:r>
        <w:rPr>
          <w:rFonts w:ascii="Palatino Linotype" w:hAnsi="Palatino Linotype"/>
        </w:rPr>
        <w:t>ve</w:t>
      </w:r>
      <w:r w:rsidRPr="00E34B80">
        <w:rPr>
          <w:rFonts w:ascii="Palatino Linotype" w:hAnsi="Palatino Linotype"/>
        </w:rPr>
        <w:t xml:space="preserve"> been </w:t>
      </w:r>
      <w:r>
        <w:rPr>
          <w:rFonts w:ascii="Palatino Linotype" w:hAnsi="Palatino Linotype"/>
        </w:rPr>
        <w:t>the focus of various histories,</w:t>
      </w:r>
      <w:r w:rsidRPr="00E34B80">
        <w:rPr>
          <w:rFonts w:ascii="Palatino Linotype" w:hAnsi="Palatino Linotype"/>
        </w:rPr>
        <w:t xml:space="preserve"> including </w:t>
      </w:r>
      <w:r w:rsidRPr="00E34B80">
        <w:rPr>
          <w:rFonts w:ascii="Palatino Linotype" w:hAnsi="Palatino Linotype"/>
          <w:lang w:val="en-GB"/>
        </w:rPr>
        <w:t xml:space="preserve">Tracey, ‘HABCFM’; Anderson, </w:t>
      </w:r>
      <w:r w:rsidRPr="00E34B80">
        <w:rPr>
          <w:rFonts w:ascii="Palatino Linotype" w:hAnsi="Palatino Linotype"/>
          <w:i/>
          <w:lang w:val="en-GB"/>
        </w:rPr>
        <w:t>HM</w:t>
      </w:r>
      <w:r w:rsidRPr="00E34B80">
        <w:rPr>
          <w:rFonts w:ascii="Palatino Linotype" w:hAnsi="Palatino Linotype"/>
          <w:lang w:val="en-GB"/>
        </w:rPr>
        <w:t xml:space="preserve">; Jessup, </w:t>
      </w:r>
      <w:r w:rsidRPr="00E34B80">
        <w:rPr>
          <w:rFonts w:ascii="Palatino Linotype" w:hAnsi="Palatino Linotype"/>
          <w:i/>
          <w:lang w:val="en-GB"/>
        </w:rPr>
        <w:t>Fifty-Three Years in Syria</w:t>
      </w:r>
      <w:r w:rsidRPr="00E34B80">
        <w:rPr>
          <w:rFonts w:ascii="Palatino Linotype" w:hAnsi="Palatino Linotype"/>
          <w:lang w:val="en-GB"/>
        </w:rPr>
        <w:t xml:space="preserve">; Bliss, </w:t>
      </w:r>
      <w:r w:rsidRPr="00E34B80">
        <w:rPr>
          <w:rFonts w:ascii="Palatino Linotype" w:hAnsi="Palatino Linotype"/>
          <w:i/>
          <w:lang w:val="en-GB"/>
        </w:rPr>
        <w:t>RDS</w:t>
      </w:r>
      <w:r w:rsidRPr="00E34B80">
        <w:rPr>
          <w:rFonts w:ascii="Palatino Linotype" w:hAnsi="Palatino Linotype"/>
          <w:lang w:val="en-GB"/>
        </w:rPr>
        <w:t xml:space="preserve">: Tibawi, </w:t>
      </w:r>
      <w:r w:rsidRPr="00E34B80">
        <w:rPr>
          <w:rFonts w:ascii="Palatino Linotype" w:hAnsi="Palatino Linotype"/>
          <w:i/>
          <w:lang w:val="en-GB"/>
        </w:rPr>
        <w:t>American Interests</w:t>
      </w:r>
      <w:r w:rsidRPr="00E34B80">
        <w:rPr>
          <w:rFonts w:ascii="Palatino Linotype" w:hAnsi="Palatino Linotype"/>
          <w:lang w:val="en-GB"/>
        </w:rPr>
        <w:t xml:space="preserve">; Badr, ‘Missions to “Nominal Christians”; Makdisi, </w:t>
      </w:r>
      <w:r w:rsidRPr="00E34B80">
        <w:rPr>
          <w:rFonts w:ascii="Palatino Linotype" w:hAnsi="Palatino Linotype"/>
          <w:i/>
          <w:lang w:val="en-GB"/>
        </w:rPr>
        <w:t>Artillery of Heaven.</w:t>
      </w:r>
    </w:p>
  </w:footnote>
  <w:footnote w:id="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McCoy, ‘The Women of the ABCFM Oregon Mission’: 78.</w:t>
      </w:r>
    </w:p>
  </w:footnote>
  <w:footnote w:id="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n.s., ‘Missionaries: Colleges and Degrees’ (n.s</w:t>
      </w:r>
      <w:r>
        <w:rPr>
          <w:rFonts w:ascii="Palatino Linotype" w:hAnsi="Palatino Linotype"/>
          <w:lang w:val="en-GB"/>
        </w:rPr>
        <w:t>.</w:t>
      </w:r>
      <w:r w:rsidRPr="00C72FD6">
        <w:rPr>
          <w:rFonts w:ascii="Palatino Linotype" w:hAnsi="Palatino Linotype"/>
          <w:lang w:val="en-GB"/>
        </w:rPr>
        <w:t>, n.d.): HHL: ABC 77:</w:t>
      </w:r>
      <w:r>
        <w:rPr>
          <w:rFonts w:ascii="Palatino Linotype" w:hAnsi="Palatino Linotype"/>
          <w:lang w:val="en-GB"/>
        </w:rPr>
        <w:t xml:space="preserve"> Box 1</w:t>
      </w:r>
      <w:r w:rsidRPr="00C72FD6">
        <w:rPr>
          <w:rFonts w:ascii="Palatino Linotype" w:hAnsi="Palatino Linotype"/>
          <w:lang w:val="en-GB"/>
        </w:rPr>
        <w:t xml:space="preserve">. </w:t>
      </w:r>
    </w:p>
  </w:footnote>
  <w:footnote w:id="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‘Missions to “Nominal Christians”’: 155-170, 189-210, 225, 232-268.</w:t>
      </w:r>
    </w:p>
  </w:footnote>
  <w:footnote w:id="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McCoy, ‘Women of the ABCFM Oregon Mission’: 77.</w:t>
      </w:r>
    </w:p>
  </w:footnote>
  <w:footnote w:id="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n.s., ‘Missions to </w:t>
      </w:r>
      <w:r>
        <w:rPr>
          <w:rFonts w:ascii="Palatino Linotype" w:hAnsi="Palatino Linotype"/>
          <w:lang w:val="en-GB"/>
        </w:rPr>
        <w:t>Syria’ (n.s., n.d): HHL: ABC 90.</w:t>
      </w:r>
      <w:r w:rsidRPr="00C72FD6">
        <w:rPr>
          <w:rFonts w:ascii="Palatino Linotype" w:hAnsi="Palatino Linotype"/>
          <w:lang w:val="en-GB"/>
        </w:rPr>
        <w:t>5</w:t>
      </w:r>
      <w:r>
        <w:rPr>
          <w:rFonts w:ascii="Palatino Linotype" w:hAnsi="Palatino Linotype"/>
          <w:lang w:val="en-GB"/>
        </w:rPr>
        <w:t>, v. 3</w:t>
      </w:r>
      <w:r w:rsidRPr="00C72FD6">
        <w:rPr>
          <w:rFonts w:ascii="Palatino Linotype" w:hAnsi="Palatino Linotype"/>
          <w:lang w:val="en-GB"/>
        </w:rPr>
        <w:t xml:space="preserve">; Bliss, </w:t>
      </w:r>
      <w:r w:rsidRPr="00C72FD6">
        <w:rPr>
          <w:rFonts w:ascii="Palatino Linotype" w:hAnsi="Palatino Linotype"/>
          <w:i/>
          <w:lang w:val="en-GB"/>
        </w:rPr>
        <w:t>RDS</w:t>
      </w:r>
      <w:r w:rsidRPr="00C72FD6">
        <w:rPr>
          <w:rFonts w:ascii="Palatino Linotype" w:hAnsi="Palatino Linotype"/>
          <w:lang w:val="en-GB"/>
        </w:rPr>
        <w:t>: 113.</w:t>
      </w:r>
    </w:p>
  </w:footnote>
  <w:footnote w:id="1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n.s., ‘Missionaries’ Children Returned to the United States: Questionnaire Circulated by R. Anderson’ (</w:t>
      </w:r>
      <w:r>
        <w:rPr>
          <w:rFonts w:ascii="Palatino Linotype" w:hAnsi="Palatino Linotype"/>
          <w:lang w:val="en-GB"/>
        </w:rPr>
        <w:t>n.s., 1866): HHL: ABC 77.</w:t>
      </w:r>
      <w:r w:rsidRPr="00C72FD6">
        <w:rPr>
          <w:rFonts w:ascii="Palatino Linotype" w:hAnsi="Palatino Linotype"/>
          <w:lang w:val="en-GB"/>
        </w:rPr>
        <w:t>8</w:t>
      </w:r>
      <w:r>
        <w:rPr>
          <w:rFonts w:ascii="Palatino Linotype" w:hAnsi="Palatino Linotype"/>
          <w:lang w:val="en-GB"/>
        </w:rPr>
        <w:t>.</w:t>
      </w:r>
      <w:r w:rsidRPr="00C72FD6">
        <w:rPr>
          <w:rFonts w:ascii="Palatino Linotype" w:hAnsi="Palatino Linotype"/>
          <w:lang w:val="en-GB"/>
        </w:rPr>
        <w:t>3; n.s., ‘Missionaries’ Children Returned to the United States. Ca. 1832-1881: Records of Grants, Etc.’ (</w:t>
      </w:r>
      <w:r>
        <w:rPr>
          <w:rFonts w:ascii="Palatino Linotype" w:hAnsi="Palatino Linotype"/>
          <w:lang w:val="en-GB"/>
        </w:rPr>
        <w:t xml:space="preserve">n.s., </w:t>
      </w:r>
      <w:r w:rsidRPr="00C72FD6">
        <w:rPr>
          <w:rFonts w:ascii="Palatino Linotype" w:hAnsi="Palatino Linotype"/>
          <w:lang w:val="en-GB"/>
        </w:rPr>
        <w:t>1881): HHL: ABC 77</w:t>
      </w:r>
      <w:r>
        <w:rPr>
          <w:rFonts w:ascii="Palatino Linotype" w:hAnsi="Palatino Linotype"/>
          <w:lang w:val="en-GB"/>
        </w:rPr>
        <w:t>.</w:t>
      </w:r>
      <w:r w:rsidRPr="00C72FD6">
        <w:rPr>
          <w:rFonts w:ascii="Palatino Linotype" w:hAnsi="Palatino Linotype"/>
          <w:lang w:val="en-GB"/>
        </w:rPr>
        <w:t>8</w:t>
      </w:r>
      <w:r>
        <w:rPr>
          <w:rFonts w:ascii="Palatino Linotype" w:hAnsi="Palatino Linotype"/>
          <w:lang w:val="en-GB"/>
        </w:rPr>
        <w:t>.</w:t>
      </w:r>
      <w:r w:rsidRPr="00C72FD6">
        <w:rPr>
          <w:rFonts w:ascii="Palatino Linotype" w:hAnsi="Palatino Linotype"/>
          <w:lang w:val="en-GB"/>
        </w:rPr>
        <w:t>2.</w:t>
      </w:r>
    </w:p>
  </w:footnote>
  <w:footnote w:id="11">
    <w:p w:rsidR="007F7DD4" w:rsidRPr="00031E63"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For example, William Bird served as a missionary in Syria, while his sister, Emily became a </w:t>
      </w:r>
      <w:r w:rsidRPr="00031E63">
        <w:rPr>
          <w:rFonts w:ascii="Palatino Linotype" w:hAnsi="Palatino Linotype"/>
          <w:lang w:val="en-GB"/>
        </w:rPr>
        <w:t>missionary in Turkey.</w:t>
      </w:r>
    </w:p>
  </w:footnote>
  <w:footnote w:id="12">
    <w:p w:rsidR="007F7DD4" w:rsidRDefault="007F7DD4" w:rsidP="001761FF">
      <w:pPr>
        <w:pStyle w:val="FootnoteText"/>
        <w:ind w:left="90" w:hanging="90"/>
        <w:jc w:val="both"/>
      </w:pPr>
      <w:r w:rsidRPr="00031E63">
        <w:rPr>
          <w:rStyle w:val="FootnoteReference"/>
          <w:rFonts w:ascii="Palatino Linotype" w:hAnsi="Palatino Linotype"/>
        </w:rPr>
        <w:footnoteRef/>
      </w:r>
      <w:r w:rsidRPr="00031E63">
        <w:rPr>
          <w:rFonts w:ascii="Palatino Linotype" w:hAnsi="Palatino Linotype"/>
        </w:rPr>
        <w:t xml:space="preserve"> A list of some of these individuals is found in Appendix III</w:t>
      </w:r>
      <w:r>
        <w:rPr>
          <w:rFonts w:ascii="Palatino Linotype" w:hAnsi="Palatino Linotype"/>
        </w:rPr>
        <w:t>:A</w:t>
      </w:r>
      <w:r w:rsidRPr="00031E63">
        <w:rPr>
          <w:rFonts w:ascii="Palatino Linotype" w:hAnsi="Palatino Linotype"/>
        </w:rPr>
        <w:t>, while their position within the Circle is depicted in Appendix IV.</w:t>
      </w:r>
    </w:p>
  </w:footnote>
  <w:footnote w:id="1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Ussama Makdisi, ‘Reclaiming the Land of the Bible: Missionaries, Secularism, and Evangelical Modernity’, </w:t>
      </w:r>
      <w:r w:rsidRPr="00C72FD6">
        <w:rPr>
          <w:rFonts w:ascii="Palatino Linotype" w:hAnsi="Palatino Linotype"/>
          <w:i/>
          <w:lang w:val="en-GB"/>
        </w:rPr>
        <w:t xml:space="preserve">The American Historical Review, </w:t>
      </w:r>
      <w:r w:rsidRPr="00C72FD6">
        <w:rPr>
          <w:rFonts w:ascii="Palatino Linotype" w:hAnsi="Palatino Linotype"/>
          <w:lang w:val="en-GB"/>
        </w:rPr>
        <w:t>102:3 (1997): 683.</w:t>
      </w:r>
    </w:p>
  </w:footnote>
  <w:footnote w:id="1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Anderson</w:t>
      </w:r>
      <w:r w:rsidRPr="00C72FD6">
        <w:rPr>
          <w:rFonts w:ascii="Palatino Linotype" w:hAnsi="Palatino Linotype"/>
          <w:i/>
          <w:lang w:val="en-GB"/>
        </w:rPr>
        <w:t>, HM: I</w:t>
      </w:r>
      <w:r w:rsidRPr="00C72FD6">
        <w:rPr>
          <w:rFonts w:ascii="Palatino Linotype" w:hAnsi="Palatino Linotype"/>
          <w:lang w:val="en-GB"/>
        </w:rPr>
        <w:t xml:space="preserve">: 230. For more information on the functioning of the press during the 1850s see </w:t>
      </w:r>
      <w:r w:rsidRPr="00C72FD6">
        <w:rPr>
          <w:rFonts w:ascii="Palatino Linotype" w:hAnsi="Palatino Linotype"/>
          <w:i/>
          <w:lang w:val="en-GB"/>
        </w:rPr>
        <w:t>MSM</w:t>
      </w:r>
      <w:r w:rsidRPr="00C72FD6">
        <w:rPr>
          <w:rFonts w:ascii="Palatino Linotype" w:hAnsi="Palatino Linotype"/>
          <w:lang w:val="en-GB"/>
        </w:rPr>
        <w:t>: 24-28</w:t>
      </w:r>
    </w:p>
  </w:footnote>
  <w:footnote w:id="1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 xml:space="preserve">A list of this group’s members is printed in Appendix II:B. </w:t>
      </w:r>
      <w:r w:rsidRPr="00C72FD6">
        <w:rPr>
          <w:rFonts w:ascii="Palatino Linotype" w:hAnsi="Palatino Linotype"/>
          <w:lang w:val="en-GB"/>
        </w:rPr>
        <w:t xml:space="preserve">Butrus </w:t>
      </w:r>
      <w:r>
        <w:rPr>
          <w:rFonts w:ascii="Palatino Linotype" w:hAnsi="Palatino Linotype"/>
          <w:lang w:val="en-GB"/>
        </w:rPr>
        <w:t>al-Bustani</w:t>
      </w:r>
      <w:r w:rsidRPr="00C72FD6">
        <w:rPr>
          <w:rFonts w:ascii="Palatino Linotype" w:hAnsi="Palatino Linotype"/>
          <w:lang w:val="en-GB"/>
        </w:rPr>
        <w:t xml:space="preserve">, </w:t>
      </w:r>
      <w:r w:rsidRPr="00C72FD6">
        <w:rPr>
          <w:rFonts w:ascii="Palatino Linotype" w:hAnsi="Palatino Linotype"/>
          <w:i/>
          <w:lang w:val="en-GB"/>
        </w:rPr>
        <w:t>Al-Jam‘iyah al-Suriyah lil-‘Ulum wa-al-Funun,</w:t>
      </w:r>
      <w:r>
        <w:rPr>
          <w:rFonts w:ascii="Palatino Linotype" w:hAnsi="Palatino Linotype"/>
          <w:i/>
          <w:lang w:val="en-GB"/>
        </w:rPr>
        <w:t xml:space="preserve"> </w:t>
      </w:r>
      <w:r w:rsidRPr="00C72FD6">
        <w:rPr>
          <w:rFonts w:ascii="Palatino Linotype" w:hAnsi="Palatino Linotype"/>
          <w:i/>
          <w:lang w:val="en-GB"/>
        </w:rPr>
        <w:t>1847-1852</w:t>
      </w:r>
      <w:r w:rsidRPr="00C72FD6">
        <w:rPr>
          <w:rFonts w:ascii="Palatino Linotype" w:hAnsi="Palatino Linotype"/>
          <w:lang w:val="en-GB"/>
        </w:rPr>
        <w:t xml:space="preserve"> (Beirut: Dar al-Hamra, 1990); Edward E. Salisbury, ‘II. Syrian Society of Arts and Sciences’, </w:t>
      </w:r>
      <w:r w:rsidRPr="00C72FD6">
        <w:rPr>
          <w:rFonts w:ascii="Palatino Linotype" w:hAnsi="Palatino Linotype"/>
          <w:i/>
          <w:lang w:val="en-GB"/>
        </w:rPr>
        <w:t xml:space="preserve">Journal of the American Oriental Society, </w:t>
      </w:r>
      <w:r w:rsidRPr="00C72FD6">
        <w:rPr>
          <w:rFonts w:ascii="Palatino Linotype" w:hAnsi="Palatino Linotype"/>
          <w:lang w:val="en-GB"/>
        </w:rPr>
        <w:t xml:space="preserve">3 (1853): 477-486. Also see Makdisi, </w:t>
      </w:r>
      <w:r w:rsidRPr="00C72FD6">
        <w:rPr>
          <w:rFonts w:ascii="Palatino Linotype" w:hAnsi="Palatino Linotype"/>
          <w:i/>
          <w:lang w:val="en-GB"/>
        </w:rPr>
        <w:t>Artillery of Heaven</w:t>
      </w:r>
      <w:r w:rsidRPr="00C72FD6">
        <w:rPr>
          <w:rFonts w:ascii="Palatino Linotype" w:hAnsi="Palatino Linotype"/>
          <w:lang w:val="en-GB"/>
        </w:rPr>
        <w:t xml:space="preserve">: 194-196; Sheehi, ‘Inscribing the Arab Self’: 7-10; Stephen Sheehi, </w:t>
      </w:r>
      <w:r w:rsidRPr="00C72FD6">
        <w:rPr>
          <w:rFonts w:ascii="Palatino Linotype" w:hAnsi="Palatino Linotype"/>
          <w:i/>
          <w:lang w:val="en-GB"/>
        </w:rPr>
        <w:t>Foundations of Modern Arab Identity</w:t>
      </w:r>
      <w:r w:rsidRPr="00C72FD6">
        <w:rPr>
          <w:rFonts w:ascii="Palatino Linotype" w:hAnsi="Palatino Linotype"/>
          <w:lang w:val="en-GB"/>
        </w:rPr>
        <w:t xml:space="preserve"> (Florida: University Press of Florida, 2004): 17.</w:t>
      </w:r>
    </w:p>
  </w:footnote>
  <w:footnote w:id="1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(1848): 266-270; Wortabet,</w:t>
      </w:r>
      <w:r w:rsidRPr="00C72FD6">
        <w:rPr>
          <w:rFonts w:ascii="Palatino Linotype" w:hAnsi="Palatino Linotype"/>
          <w:i/>
          <w:lang w:val="en-GB"/>
        </w:rPr>
        <w:t xml:space="preserve"> RRS: </w:t>
      </w:r>
      <w:r w:rsidRPr="00C72FD6">
        <w:rPr>
          <w:rFonts w:ascii="Palatino Linotype" w:hAnsi="Palatino Linotype"/>
          <w:lang w:val="en-GB"/>
        </w:rPr>
        <w:t>402-421.</w:t>
      </w:r>
    </w:p>
  </w:footnote>
  <w:footnote w:id="1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Eli Smith, ‘Letter to Brother [Isaac] Bird’ (Beirut, 27 November 1850): YDS: ES Box 6: Folder 10; Wortabet,</w:t>
      </w:r>
      <w:r w:rsidRPr="00C72FD6">
        <w:rPr>
          <w:rFonts w:ascii="Palatino Linotype" w:hAnsi="Palatino Linotype"/>
          <w:i/>
          <w:lang w:val="en-GB"/>
        </w:rPr>
        <w:t xml:space="preserve"> RRS: </w:t>
      </w:r>
      <w:r>
        <w:rPr>
          <w:rFonts w:ascii="Palatino Linotype" w:hAnsi="Palatino Linotype"/>
          <w:lang w:val="en-GB"/>
        </w:rPr>
        <w:t xml:space="preserve">404-405; </w:t>
      </w:r>
      <w:r w:rsidRPr="00A548D5">
        <w:rPr>
          <w:rFonts w:ascii="Palatino Linotype" w:hAnsi="Palatino Linotype"/>
          <w:lang w:val="en-GB"/>
        </w:rPr>
        <w:t xml:space="preserve">Robinson and Smith, </w:t>
      </w:r>
      <w:r w:rsidRPr="00A548D5">
        <w:rPr>
          <w:rFonts w:ascii="Palatino Linotype" w:hAnsi="Palatino Linotype"/>
          <w:i/>
          <w:lang w:val="en-GB"/>
        </w:rPr>
        <w:t>BR</w:t>
      </w:r>
      <w:r w:rsidRPr="00A548D5">
        <w:rPr>
          <w:rFonts w:ascii="Palatino Linotype" w:hAnsi="Palatino Linotype"/>
          <w:lang w:val="en-GB"/>
        </w:rPr>
        <w:t>:</w:t>
      </w:r>
      <w:r w:rsidRPr="00A548D5">
        <w:rPr>
          <w:rFonts w:ascii="Palatino Linotype" w:hAnsi="Palatino Linotype"/>
          <w:i/>
          <w:lang w:val="en-GB"/>
        </w:rPr>
        <w:t xml:space="preserve"> III</w:t>
      </w:r>
      <w:r>
        <w:rPr>
          <w:rFonts w:ascii="Palatino Linotype" w:hAnsi="Palatino Linotype"/>
          <w:lang w:val="en-GB"/>
        </w:rPr>
        <w:t>: 26.</w:t>
      </w:r>
    </w:p>
  </w:footnote>
  <w:footnote w:id="1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(1846): 83-84; Elshakry, ‘The Gospel of Science</w:t>
      </w:r>
      <w:r>
        <w:rPr>
          <w:rFonts w:ascii="Palatino Linotype" w:hAnsi="Palatino Linotype"/>
          <w:lang w:val="en-GB"/>
        </w:rPr>
        <w:t xml:space="preserve">’: </w:t>
      </w:r>
      <w:r w:rsidRPr="00C72FD6">
        <w:rPr>
          <w:rFonts w:ascii="Palatino Linotype" w:hAnsi="Palatino Linotype"/>
          <w:lang w:val="en-GB"/>
        </w:rPr>
        <w:t xml:space="preserve">183-189.  </w:t>
      </w:r>
    </w:p>
  </w:footnote>
  <w:footnote w:id="1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For example see the biography of Lulu Araman written by Catherine DeForest in Jessup, </w:t>
      </w:r>
      <w:r w:rsidRPr="00C72FD6">
        <w:rPr>
          <w:rFonts w:ascii="Palatino Linotype" w:hAnsi="Palatino Linotype"/>
          <w:i/>
          <w:lang w:val="en-GB"/>
        </w:rPr>
        <w:t>WA</w:t>
      </w:r>
      <w:r w:rsidRPr="00C72FD6">
        <w:rPr>
          <w:rFonts w:ascii="Palatino Linotype" w:hAnsi="Palatino Linotype"/>
          <w:lang w:val="en-GB"/>
        </w:rPr>
        <w:t>: 88-90.</w:t>
      </w:r>
    </w:p>
  </w:footnote>
  <w:footnote w:id="2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Bliss, </w:t>
      </w:r>
      <w:r w:rsidRPr="00C72FD6">
        <w:rPr>
          <w:rFonts w:ascii="Palatino Linotype" w:hAnsi="Palatino Linotype"/>
          <w:i/>
          <w:lang w:val="en-GB"/>
        </w:rPr>
        <w:t>RDS</w:t>
      </w:r>
      <w:r w:rsidRPr="00C72FD6">
        <w:rPr>
          <w:rFonts w:ascii="Palatino Linotype" w:hAnsi="Palatino Linotype"/>
          <w:lang w:val="en-GB"/>
        </w:rPr>
        <w:t>: 131-132.</w:t>
      </w:r>
      <w:r>
        <w:rPr>
          <w:rFonts w:ascii="Palatino Linotype" w:hAnsi="Palatino Linotype"/>
          <w:lang w:val="en-GB"/>
        </w:rPr>
        <w:t xml:space="preserve"> </w:t>
      </w:r>
      <w:r w:rsidRPr="00FF25D1">
        <w:rPr>
          <w:rFonts w:ascii="Palatino Linotype" w:hAnsi="Palatino Linotype"/>
          <w:lang w:val="en-GB"/>
        </w:rPr>
        <w:t xml:space="preserve">The full constitution </w:t>
      </w:r>
      <w:r>
        <w:rPr>
          <w:rFonts w:ascii="Palatino Linotype" w:hAnsi="Palatino Linotype"/>
          <w:lang w:val="en-GB"/>
        </w:rPr>
        <w:t>was</w:t>
      </w:r>
      <w:r w:rsidRPr="00FF25D1">
        <w:rPr>
          <w:rFonts w:ascii="Palatino Linotype" w:hAnsi="Palatino Linotype"/>
          <w:lang w:val="en-GB"/>
        </w:rPr>
        <w:t xml:space="preserve"> printed in Wortabet,</w:t>
      </w:r>
      <w:r w:rsidRPr="00FF25D1">
        <w:rPr>
          <w:rFonts w:ascii="Palatino Linotype" w:hAnsi="Palatino Linotype"/>
          <w:i/>
          <w:lang w:val="en-GB"/>
        </w:rPr>
        <w:t xml:space="preserve"> RRS</w:t>
      </w:r>
      <w:r w:rsidRPr="00FF25D1">
        <w:rPr>
          <w:rFonts w:ascii="Palatino Linotype" w:hAnsi="Palatino Linotype"/>
          <w:lang w:val="en-GB"/>
        </w:rPr>
        <w:t>: 402-413</w:t>
      </w:r>
      <w:r>
        <w:rPr>
          <w:rFonts w:ascii="Palatino Linotype" w:hAnsi="Palatino Linotype"/>
          <w:lang w:val="en-GB"/>
        </w:rPr>
        <w:t xml:space="preserve"> and found in Appendix V. A</w:t>
      </w:r>
      <w:r w:rsidRPr="00FF25D1">
        <w:rPr>
          <w:rFonts w:ascii="Palatino Linotype" w:hAnsi="Palatino Linotype"/>
          <w:lang w:val="en-GB"/>
        </w:rPr>
        <w:t xml:space="preserve">n edited version </w:t>
      </w:r>
      <w:r>
        <w:rPr>
          <w:rFonts w:ascii="Palatino Linotype" w:hAnsi="Palatino Linotype"/>
          <w:lang w:val="en-GB"/>
        </w:rPr>
        <w:t xml:space="preserve">was reproduced </w:t>
      </w:r>
      <w:r w:rsidRPr="00FF25D1">
        <w:rPr>
          <w:rFonts w:ascii="Palatino Linotype" w:hAnsi="Palatino Linotype"/>
          <w:lang w:val="en-GB"/>
        </w:rPr>
        <w:t xml:space="preserve">in </w:t>
      </w:r>
      <w:r w:rsidRPr="00FF25D1">
        <w:rPr>
          <w:rFonts w:ascii="Palatino Linotype" w:hAnsi="Palatino Linotype"/>
          <w:i/>
          <w:lang w:val="en-GB"/>
        </w:rPr>
        <w:t>MH</w:t>
      </w:r>
      <w:r w:rsidRPr="00FF25D1">
        <w:rPr>
          <w:rFonts w:ascii="Palatino Linotype" w:hAnsi="Palatino Linotype"/>
          <w:lang w:val="en-GB"/>
        </w:rPr>
        <w:t xml:space="preserve"> (1848): 266-270.</w:t>
      </w:r>
    </w:p>
  </w:footnote>
  <w:footnote w:id="2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w:t>
      </w:r>
      <w:r w:rsidRPr="00C72FD6">
        <w:rPr>
          <w:rFonts w:ascii="Palatino Linotype" w:hAnsi="Palatino Linotype"/>
          <w:lang w:val="en-GB"/>
        </w:rPr>
        <w:t>:</w:t>
      </w:r>
      <w:r w:rsidRPr="00C72FD6">
        <w:rPr>
          <w:rFonts w:ascii="Palatino Linotype" w:hAnsi="Palatino Linotype"/>
          <w:i/>
          <w:lang w:val="en-GB"/>
        </w:rPr>
        <w:t xml:space="preserve"> </w:t>
      </w:r>
      <w:r w:rsidRPr="00C72FD6">
        <w:rPr>
          <w:rFonts w:ascii="Palatino Linotype" w:hAnsi="Palatino Linotype"/>
          <w:lang w:val="en-GB"/>
        </w:rPr>
        <w:t>413.</w:t>
      </w:r>
    </w:p>
  </w:footnote>
  <w:footnote w:id="2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 xml:space="preserve">e.g. </w:t>
      </w:r>
      <w:r w:rsidRPr="00C72FD6">
        <w:rPr>
          <w:rFonts w:ascii="Palatino Linotype" w:hAnsi="Palatino Linotype"/>
          <w:lang w:val="en-GB"/>
        </w:rPr>
        <w:t>DeForest, ‘Journal’ (n.s., 1842).</w:t>
      </w:r>
    </w:p>
  </w:footnote>
  <w:footnote w:id="2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 xml:space="preserve">e.g. </w:t>
      </w:r>
      <w:r w:rsidRPr="00C72FD6">
        <w:rPr>
          <w:rFonts w:ascii="Palatino Linotype" w:hAnsi="Palatino Linotype"/>
          <w:lang w:val="en-GB"/>
        </w:rPr>
        <w:t xml:space="preserve">Hooker, </w:t>
      </w:r>
      <w:r w:rsidRPr="00C72FD6">
        <w:rPr>
          <w:rFonts w:ascii="Palatino Linotype" w:hAnsi="Palatino Linotype"/>
          <w:i/>
          <w:lang w:val="en-GB"/>
        </w:rPr>
        <w:t>MSLS</w:t>
      </w:r>
      <w:r w:rsidRPr="00C72FD6">
        <w:rPr>
          <w:rFonts w:ascii="Palatino Linotype" w:hAnsi="Palatino Linotype"/>
          <w:lang w:val="en-GB"/>
        </w:rPr>
        <w:t>: 277.</w:t>
      </w:r>
    </w:p>
  </w:footnote>
  <w:footnote w:id="2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276-278.</w:t>
      </w:r>
    </w:p>
  </w:footnote>
  <w:footnote w:id="25">
    <w:p w:rsidR="007F7DD4" w:rsidRPr="007A21D1" w:rsidRDefault="007F7DD4" w:rsidP="001761FF">
      <w:pPr>
        <w:pStyle w:val="FootnoteText"/>
        <w:ind w:left="90" w:hanging="90"/>
        <w:jc w:val="both"/>
        <w:rPr>
          <w:rFonts w:ascii="Palatino Linotype" w:hAnsi="Palatino Linotype"/>
          <w:lang w:val="en-GB"/>
        </w:rPr>
      </w:pPr>
      <w:r w:rsidRPr="007A21D1">
        <w:rPr>
          <w:rStyle w:val="FootnoteReference"/>
          <w:rFonts w:ascii="Palatino Linotype" w:hAnsi="Palatino Linotype"/>
          <w:lang w:val="en-GB"/>
        </w:rPr>
        <w:footnoteRef/>
      </w:r>
      <w:r w:rsidRPr="007A21D1">
        <w:rPr>
          <w:rFonts w:ascii="Palatino Linotype" w:hAnsi="Palatino Linotype"/>
          <w:lang w:val="en-GB"/>
        </w:rPr>
        <w:t xml:space="preserve"> </w:t>
      </w:r>
      <w:r w:rsidRPr="007A21D1">
        <w:rPr>
          <w:rFonts w:ascii="Palatino Linotype" w:hAnsi="Palatino Linotype"/>
          <w:i/>
          <w:lang w:val="en-GB"/>
        </w:rPr>
        <w:t xml:space="preserve">MH </w:t>
      </w:r>
      <w:r w:rsidRPr="007A21D1">
        <w:rPr>
          <w:rFonts w:ascii="Palatino Linotype" w:hAnsi="Palatino Linotype"/>
          <w:lang w:val="en-GB"/>
        </w:rPr>
        <w:t>(1828): 48; Salt, ‘Trouble Wherever They Went’: 153-154.</w:t>
      </w:r>
    </w:p>
  </w:footnote>
  <w:footnote w:id="26">
    <w:p w:rsidR="007F7DD4" w:rsidRPr="007A21D1" w:rsidRDefault="007F7DD4" w:rsidP="001761FF">
      <w:pPr>
        <w:pStyle w:val="FootnoteText"/>
        <w:ind w:left="90" w:hanging="90"/>
        <w:jc w:val="both"/>
        <w:rPr>
          <w:rFonts w:ascii="Palatino Linotype" w:hAnsi="Palatino Linotype"/>
        </w:rPr>
      </w:pPr>
      <w:r w:rsidRPr="007A21D1">
        <w:rPr>
          <w:rStyle w:val="FootnoteReference"/>
          <w:rFonts w:ascii="Palatino Linotype" w:hAnsi="Palatino Linotype"/>
        </w:rPr>
        <w:footnoteRef/>
      </w:r>
      <w:r w:rsidRPr="007A21D1">
        <w:rPr>
          <w:rFonts w:ascii="Palatino Linotype" w:hAnsi="Palatino Linotype"/>
        </w:rPr>
        <w:t xml:space="preserve"> The ABCFM’s relationship with Latin missionaries was examined in Murre-van den </w:t>
      </w:r>
      <w:r>
        <w:rPr>
          <w:rFonts w:ascii="Palatino Linotype" w:hAnsi="Palatino Linotype"/>
        </w:rPr>
        <w:t>Berg</w:t>
      </w:r>
      <w:r w:rsidRPr="007A21D1">
        <w:rPr>
          <w:rFonts w:ascii="Palatino Linotype" w:hAnsi="Palatino Linotype"/>
        </w:rPr>
        <w:t>, ‘</w:t>
      </w:r>
      <w:r w:rsidRPr="007A21D1">
        <w:rPr>
          <w:rFonts w:ascii="Palatino Linotype" w:hAnsi="Palatino Linotype"/>
          <w:lang w:val="en-GB"/>
        </w:rPr>
        <w:t>Simply by Giving to Them Macaroni’:</w:t>
      </w:r>
      <w:r w:rsidRPr="007A21D1">
        <w:rPr>
          <w:rFonts w:ascii="Palatino Linotype" w:hAnsi="Palatino Linotype"/>
          <w:color w:val="auto"/>
          <w:sz w:val="24"/>
          <w:szCs w:val="24"/>
          <w:lang w:val="en-GB"/>
        </w:rPr>
        <w:t xml:space="preserve"> </w:t>
      </w:r>
      <w:r w:rsidRPr="007A21D1">
        <w:rPr>
          <w:rFonts w:ascii="Palatino Linotype" w:hAnsi="Palatino Linotype"/>
          <w:lang w:val="en-GB"/>
        </w:rPr>
        <w:t>63-80.</w:t>
      </w:r>
    </w:p>
  </w:footnote>
  <w:footnote w:id="27">
    <w:p w:rsidR="007F7DD4" w:rsidRPr="00754F82" w:rsidRDefault="007F7DD4" w:rsidP="001761FF">
      <w:pPr>
        <w:pStyle w:val="FootnoteText"/>
        <w:ind w:left="90" w:hanging="90"/>
        <w:jc w:val="both"/>
        <w:rPr>
          <w:rFonts w:ascii="Palatino Linotype" w:hAnsi="Palatino Linotype"/>
          <w:lang w:val="en-GB"/>
        </w:rPr>
      </w:pPr>
      <w:r w:rsidRPr="00F45F89">
        <w:rPr>
          <w:rStyle w:val="FootnoteReference"/>
          <w:rFonts w:ascii="Palatino Linotype" w:hAnsi="Palatino Linotype"/>
          <w:lang w:val="en-GB"/>
        </w:rPr>
        <w:footnoteRef/>
      </w:r>
      <w:r w:rsidRPr="00F45F89">
        <w:rPr>
          <w:rFonts w:ascii="Palatino Linotype" w:hAnsi="Palatino Linotype"/>
          <w:lang w:val="en-GB"/>
        </w:rPr>
        <w:t xml:space="preserve"> For more on Levantines see Hourani, </w:t>
      </w:r>
      <w:r w:rsidRPr="00F45F89">
        <w:rPr>
          <w:rFonts w:ascii="Palatino Linotype" w:hAnsi="Palatino Linotype"/>
          <w:i/>
          <w:lang w:val="en-GB"/>
        </w:rPr>
        <w:t>Minorities in the Arab World</w:t>
      </w:r>
      <w:r w:rsidRPr="00F45F89">
        <w:rPr>
          <w:rFonts w:ascii="Palatino Linotype" w:hAnsi="Palatino Linotype"/>
          <w:lang w:val="en-GB"/>
        </w:rPr>
        <w:t xml:space="preserve">: 385; Effendi, </w:t>
      </w:r>
      <w:r w:rsidRPr="00F45F89">
        <w:rPr>
          <w:rFonts w:ascii="Palatino Linotype" w:hAnsi="Palatino Linotype"/>
          <w:i/>
          <w:lang w:val="en-GB"/>
        </w:rPr>
        <w:t xml:space="preserve">The Thistle and the </w:t>
      </w:r>
      <w:r w:rsidRPr="00754F82">
        <w:rPr>
          <w:rFonts w:ascii="Palatino Linotype" w:hAnsi="Palatino Linotype"/>
          <w:i/>
          <w:lang w:val="en-GB"/>
        </w:rPr>
        <w:t>Cedar of Lebanon</w:t>
      </w:r>
      <w:r w:rsidRPr="00754F82">
        <w:rPr>
          <w:rFonts w:ascii="Palatino Linotype" w:hAnsi="Palatino Linotype"/>
          <w:lang w:val="en-GB"/>
        </w:rPr>
        <w:t>: 252; Makdisi, ‘Reclaiming the Land of the Bible’: 694.</w:t>
      </w:r>
    </w:p>
  </w:footnote>
  <w:footnote w:id="28">
    <w:p w:rsidR="007F7DD4" w:rsidRPr="00754F82" w:rsidRDefault="007F7DD4" w:rsidP="001761FF">
      <w:pPr>
        <w:pStyle w:val="FootnoteText"/>
        <w:ind w:left="90" w:hanging="90"/>
        <w:rPr>
          <w:rFonts w:ascii="Palatino Linotype" w:hAnsi="Palatino Linotype"/>
        </w:rPr>
      </w:pPr>
      <w:r w:rsidRPr="00754F82">
        <w:rPr>
          <w:rStyle w:val="FootnoteReference"/>
          <w:rFonts w:ascii="Palatino Linotype" w:hAnsi="Palatino Linotype"/>
        </w:rPr>
        <w:footnoteRef/>
      </w:r>
      <w:r w:rsidRPr="00754F82">
        <w:rPr>
          <w:rFonts w:ascii="Palatino Linotype" w:hAnsi="Palatino Linotype"/>
        </w:rPr>
        <w:t xml:space="preserve"> ABCFM, </w:t>
      </w:r>
      <w:r w:rsidRPr="00754F82">
        <w:rPr>
          <w:rFonts w:ascii="Palatino Linotype" w:hAnsi="Palatino Linotype"/>
          <w:i/>
        </w:rPr>
        <w:t>Annual Report</w:t>
      </w:r>
      <w:r w:rsidRPr="00754F82">
        <w:rPr>
          <w:rFonts w:ascii="Palatino Linotype" w:hAnsi="Palatino Linotype"/>
        </w:rPr>
        <w:t xml:space="preserve"> (Beirut, 1830); ABCFM, </w:t>
      </w:r>
      <w:r w:rsidRPr="00754F82">
        <w:rPr>
          <w:rFonts w:ascii="Palatino Linotype" w:hAnsi="Palatino Linotype"/>
          <w:i/>
        </w:rPr>
        <w:t>Annual Report</w:t>
      </w:r>
      <w:r w:rsidRPr="00754F82">
        <w:rPr>
          <w:rFonts w:ascii="Palatino Linotype" w:hAnsi="Palatino Linotype"/>
        </w:rPr>
        <w:t xml:space="preserve"> (Beirut 1835).</w:t>
      </w:r>
    </w:p>
  </w:footnote>
  <w:footnote w:id="29">
    <w:p w:rsidR="007F7DD4" w:rsidRDefault="007F7DD4" w:rsidP="001761FF">
      <w:pPr>
        <w:pStyle w:val="FootnoteText"/>
        <w:ind w:left="90" w:hanging="90"/>
        <w:jc w:val="both"/>
      </w:pPr>
      <w:r w:rsidRPr="00754F82">
        <w:rPr>
          <w:rStyle w:val="FootnoteReference"/>
          <w:rFonts w:ascii="Palatino Linotype" w:hAnsi="Palatino Linotype"/>
        </w:rPr>
        <w:footnoteRef/>
      </w:r>
      <w:r w:rsidRPr="00754F82">
        <w:rPr>
          <w:rFonts w:ascii="Palatino Linotype" w:hAnsi="Palatino Linotype"/>
        </w:rPr>
        <w:t xml:space="preserve"> Two exceptions were the (male) Seminary, which was moved from Beirut</w:t>
      </w:r>
      <w:r w:rsidRPr="00F45F89">
        <w:rPr>
          <w:rFonts w:ascii="Palatino Linotype" w:hAnsi="Palatino Linotype"/>
        </w:rPr>
        <w:t xml:space="preserve"> to Abeih </w:t>
      </w:r>
      <w:r>
        <w:rPr>
          <w:rFonts w:ascii="Palatino Linotype" w:hAnsi="Palatino Linotype"/>
        </w:rPr>
        <w:t xml:space="preserve">in 1847 </w:t>
      </w:r>
      <w:r w:rsidRPr="00F45F89">
        <w:rPr>
          <w:rFonts w:ascii="Palatino Linotype" w:hAnsi="Palatino Linotype"/>
        </w:rPr>
        <w:t xml:space="preserve">and the Female </w:t>
      </w:r>
      <w:r>
        <w:rPr>
          <w:rFonts w:ascii="Palatino Linotype" w:hAnsi="Palatino Linotype"/>
        </w:rPr>
        <w:t>Seminary, which moved from Beirut to Souq</w:t>
      </w:r>
      <w:r w:rsidRPr="00F45F89">
        <w:rPr>
          <w:rFonts w:ascii="Palatino Linotype" w:hAnsi="Palatino Linotype"/>
        </w:rPr>
        <w:t xml:space="preserve"> el-Gharb in 1856. However, both </w:t>
      </w:r>
      <w:r>
        <w:rPr>
          <w:rFonts w:ascii="Palatino Linotype" w:hAnsi="Palatino Linotype"/>
        </w:rPr>
        <w:t xml:space="preserve">were </w:t>
      </w:r>
      <w:r w:rsidRPr="00F45F89">
        <w:rPr>
          <w:rFonts w:ascii="Palatino Linotype" w:hAnsi="Palatino Linotype"/>
        </w:rPr>
        <w:t>founded in Beirut and continued to maintain a strong link to this city.</w:t>
      </w:r>
    </w:p>
  </w:footnote>
  <w:footnote w:id="30">
    <w:p w:rsidR="007F7DD4" w:rsidRDefault="007F7DD4" w:rsidP="001761FF">
      <w:pPr>
        <w:pStyle w:val="FootnoteText"/>
        <w:ind w:left="90" w:hanging="90"/>
      </w:pPr>
      <w:r>
        <w:rPr>
          <w:rStyle w:val="FootnoteReference"/>
        </w:rPr>
        <w:footnoteRef/>
      </w:r>
      <w:r>
        <w:t xml:space="preserve"> </w:t>
      </w:r>
      <w:r w:rsidRPr="00C72FD6">
        <w:rPr>
          <w:rFonts w:ascii="Palatino Linotype" w:hAnsi="Palatino Linotype"/>
          <w:lang w:val="en-GB"/>
        </w:rPr>
        <w:t>Anderson</w:t>
      </w:r>
      <w:r w:rsidRPr="00C72FD6">
        <w:rPr>
          <w:rFonts w:ascii="Palatino Linotype" w:hAnsi="Palatino Linotype"/>
          <w:i/>
          <w:lang w:val="en-GB"/>
        </w:rPr>
        <w:t>, HM</w:t>
      </w:r>
      <w:r>
        <w:rPr>
          <w:rFonts w:ascii="Palatino Linotype" w:hAnsi="Palatino Linotype"/>
          <w:lang w:val="en-GB"/>
        </w:rPr>
        <w:t>: viii.</w:t>
      </w:r>
    </w:p>
  </w:footnote>
  <w:footnote w:id="3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Anderson</w:t>
      </w:r>
      <w:r w:rsidRPr="00C72FD6">
        <w:rPr>
          <w:rFonts w:ascii="Palatino Linotype" w:hAnsi="Palatino Linotype"/>
          <w:i/>
          <w:lang w:val="en-GB"/>
        </w:rPr>
        <w:t>, HM</w:t>
      </w:r>
      <w:r w:rsidRPr="00C72FD6">
        <w:rPr>
          <w:rFonts w:ascii="Palatino Linotype" w:hAnsi="Palatino Linotype"/>
          <w:lang w:val="en-GB"/>
        </w:rPr>
        <w:t>: 9-24.</w:t>
      </w:r>
    </w:p>
  </w:footnote>
  <w:footnote w:id="3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Anderson</w:t>
      </w:r>
      <w:r w:rsidRPr="00C72FD6">
        <w:rPr>
          <w:rFonts w:ascii="Palatino Linotype" w:hAnsi="Palatino Linotype"/>
          <w:i/>
          <w:lang w:val="en-GB"/>
        </w:rPr>
        <w:t>, HM</w:t>
      </w:r>
      <w:r w:rsidRPr="00C72FD6">
        <w:rPr>
          <w:rFonts w:ascii="Palatino Linotype" w:hAnsi="Palatino Linotype"/>
          <w:lang w:val="en-GB"/>
        </w:rPr>
        <w:t>: 40.</w:t>
      </w:r>
    </w:p>
  </w:footnote>
  <w:footnote w:id="3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Anderson</w:t>
      </w:r>
      <w:r w:rsidRPr="00C72FD6">
        <w:rPr>
          <w:rFonts w:ascii="Palatino Linotype" w:hAnsi="Palatino Linotype"/>
          <w:i/>
          <w:lang w:val="en-GB"/>
        </w:rPr>
        <w:t>, HM</w:t>
      </w:r>
      <w:r w:rsidRPr="00C72FD6">
        <w:rPr>
          <w:rFonts w:ascii="Palatino Linotype" w:hAnsi="Palatino Linotype"/>
          <w:lang w:val="en-GB"/>
        </w:rPr>
        <w:t>: 40-41.</w:t>
      </w:r>
    </w:p>
  </w:footnote>
  <w:footnote w:id="3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Bodenstein, ‘The Making and Remaking of Zokak el-Blat’: 60.</w:t>
      </w:r>
    </w:p>
  </w:footnote>
  <w:footnote w:id="3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 analysis on how this was negotiated by Europeans in Cyrus was presented in Aymes, ‘The Port-City in the Fields’.</w:t>
      </w:r>
    </w:p>
  </w:footnote>
  <w:footnote w:id="3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n.s., </w:t>
      </w:r>
      <w:r w:rsidRPr="00C72FD6">
        <w:rPr>
          <w:rFonts w:ascii="Palatino Linotype" w:hAnsi="Palatino Linotype"/>
          <w:i/>
          <w:lang w:val="en-GB"/>
        </w:rPr>
        <w:t xml:space="preserve">Cemetery Record: American Presbyterian Mission </w:t>
      </w:r>
      <w:r w:rsidRPr="00C72FD6">
        <w:rPr>
          <w:rFonts w:ascii="Palatino Linotype" w:hAnsi="Palatino Linotype"/>
          <w:lang w:val="en-GB"/>
        </w:rPr>
        <w:t>(Beirut, Syria: n.s., 1903): AUB Library Archives</w:t>
      </w:r>
    </w:p>
  </w:footnote>
  <w:footnote w:id="3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Bodenstein, ‘The Making and Remaking of Zokak el-Blat': 40.</w:t>
      </w:r>
    </w:p>
  </w:footnote>
  <w:footnote w:id="3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It is unclear why, after a short stay in Malta, the Birds stayed in the Goodells’ old house and not </w:t>
      </w:r>
      <w:r w:rsidRPr="001812F1">
        <w:rPr>
          <w:rFonts w:ascii="Palatino Linotype" w:hAnsi="Palatino Linotype"/>
          <w:i/>
          <w:lang w:val="en-GB"/>
        </w:rPr>
        <w:t>Burj Bird</w:t>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(1831): 148.</w:t>
      </w:r>
    </w:p>
  </w:footnote>
  <w:footnote w:id="3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Jessup, </w:t>
      </w:r>
      <w:r w:rsidRPr="00C72FD6">
        <w:rPr>
          <w:rFonts w:ascii="Palatino Linotype" w:hAnsi="Palatino Linotype"/>
          <w:i/>
          <w:lang w:val="en-GB"/>
        </w:rPr>
        <w:t xml:space="preserve">Fifty-Three Years in Syria: </w:t>
      </w:r>
      <w:r w:rsidRPr="00C72FD6">
        <w:rPr>
          <w:rFonts w:ascii="Palatino Linotype" w:hAnsi="Palatino Linotype"/>
          <w:lang w:val="en-GB"/>
        </w:rPr>
        <w:t xml:space="preserve"> 45; Henrietta Smith, ‘Letter’ (Beirut, 18 January 1847): YDS: ES Box 1: Folder 16; Prime, </w:t>
      </w:r>
      <w:r w:rsidRPr="00C72FD6">
        <w:rPr>
          <w:rFonts w:ascii="Palatino Linotype" w:hAnsi="Palatino Linotype"/>
          <w:i/>
          <w:lang w:val="en-GB"/>
        </w:rPr>
        <w:t>Forty Years in the Turkish Empire</w:t>
      </w:r>
      <w:r w:rsidRPr="00C72FD6">
        <w:rPr>
          <w:rFonts w:ascii="Palatino Linotype" w:hAnsi="Palatino Linotype"/>
          <w:lang w:val="en-GB"/>
        </w:rPr>
        <w:t>: 91.</w:t>
      </w:r>
    </w:p>
  </w:footnote>
  <w:footnote w:id="4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Emphasis in original. Gabriel Chasseaud, ‘Entry in Record’ (Beirut: 1 February 1831): [British] PRO: FO 616/1. Although not verified, the ‘necessity’ for this purchase may have been the arrival of the Egyptian army and the fear that Muhammad Ali would confiscate this property.</w:t>
      </w:r>
    </w:p>
  </w:footnote>
  <w:footnote w:id="4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Gabriel Chasseaud, ‘Registration of deed and transfer of deed for Beit Mikdash’ (Beirut: 2 February 1831): [British] PRO: FO 616/1. It can be inferred from the context that ‘Beit Mikdah’ refers to the space of the Mission House.</w:t>
      </w:r>
    </w:p>
  </w:footnote>
  <w:footnote w:id="4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n.s., ‘Deed of Tannous el-Haddad for Mission House and Garden’ (n.s., 19 April 1844): HHL: ABC 8</w:t>
      </w:r>
      <w:r>
        <w:rPr>
          <w:rFonts w:ascii="Palatino Linotype" w:hAnsi="Palatino Linotype"/>
          <w:lang w:val="en-GB"/>
        </w:rPr>
        <w:t>.</w:t>
      </w:r>
      <w:r w:rsidRPr="00C72FD6">
        <w:rPr>
          <w:rFonts w:ascii="Palatino Linotype" w:hAnsi="Palatino Linotype"/>
          <w:lang w:val="en-GB"/>
        </w:rPr>
        <w:t>2</w:t>
      </w:r>
      <w:r>
        <w:rPr>
          <w:rFonts w:ascii="Palatino Linotype" w:hAnsi="Palatino Linotype"/>
          <w:lang w:val="en-GB"/>
        </w:rPr>
        <w:t>.</w:t>
      </w:r>
      <w:r w:rsidRPr="00C72FD6">
        <w:rPr>
          <w:rFonts w:ascii="Palatino Linotype" w:hAnsi="Palatino Linotype"/>
          <w:lang w:val="en-GB"/>
        </w:rPr>
        <w:t>17</w:t>
      </w:r>
      <w:r>
        <w:rPr>
          <w:rFonts w:ascii="Palatino Linotype" w:hAnsi="Palatino Linotype"/>
          <w:lang w:val="en-GB"/>
        </w:rPr>
        <w:t xml:space="preserve">, </w:t>
      </w:r>
      <w:r w:rsidRPr="00C72FD6">
        <w:rPr>
          <w:rFonts w:ascii="Palatino Linotype" w:hAnsi="Palatino Linotype"/>
          <w:lang w:val="en-GB"/>
        </w:rPr>
        <w:t>Box 4</w:t>
      </w:r>
      <w:r>
        <w:rPr>
          <w:rFonts w:ascii="Palatino Linotype" w:hAnsi="Palatino Linotype"/>
          <w:lang w:val="en-GB"/>
        </w:rPr>
        <w:t>,</w:t>
      </w:r>
      <w:r w:rsidRPr="00C72FD6">
        <w:rPr>
          <w:rFonts w:ascii="Palatino Linotype" w:hAnsi="Palatino Linotype"/>
          <w:lang w:val="en-GB"/>
        </w:rPr>
        <w:t xml:space="preserve"> Folder 26.</w:t>
      </w:r>
    </w:p>
  </w:footnote>
  <w:footnote w:id="4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The exact location of this house is unclear, but I disagree with those who argue that it is the ‘Abdallah Soussa House’, which </w:t>
      </w:r>
      <w:r>
        <w:rPr>
          <w:rFonts w:ascii="Palatino Linotype" w:hAnsi="Palatino Linotype"/>
          <w:lang w:val="en-GB"/>
        </w:rPr>
        <w:t>was the</w:t>
      </w:r>
      <w:r w:rsidRPr="00C72FD6">
        <w:rPr>
          <w:rFonts w:ascii="Palatino Linotype" w:hAnsi="Palatino Linotype"/>
          <w:lang w:val="en-GB"/>
        </w:rPr>
        <w:t xml:space="preserve"> home of Henry Harris Jessup during the late nineteenth century and is currently locat</w:t>
      </w:r>
      <w:r>
        <w:rPr>
          <w:rFonts w:ascii="Palatino Linotype" w:hAnsi="Palatino Linotype"/>
          <w:lang w:val="en-GB"/>
        </w:rPr>
        <w:t>ed near the Patriarchal School</w:t>
      </w:r>
      <w:r w:rsidRPr="00C72FD6">
        <w:rPr>
          <w:rFonts w:ascii="Palatino Linotype" w:hAnsi="Palatino Linotype"/>
          <w:lang w:val="en-GB"/>
        </w:rPr>
        <w:t xml:space="preserve">. Ralph Bodenstein, </w:t>
      </w:r>
      <w:r w:rsidRPr="00C72FD6">
        <w:rPr>
          <w:rFonts w:ascii="Palatino Linotype" w:hAnsi="Palatino Linotype"/>
          <w:i/>
          <w:lang w:val="en-GB"/>
        </w:rPr>
        <w:t>et al.</w:t>
      </w:r>
      <w:r w:rsidRPr="00C72FD6">
        <w:rPr>
          <w:rFonts w:ascii="Palatino Linotype" w:hAnsi="Palatino Linotype"/>
          <w:lang w:val="en-GB"/>
        </w:rPr>
        <w:t xml:space="preserve"> ‘Walking Through Zokak el-Blat: A Rhythmanalysis of the Quarter’, in Gebhardt</w:t>
      </w:r>
      <w:r>
        <w:rPr>
          <w:rFonts w:ascii="Palatino Linotype" w:hAnsi="Palatino Linotype"/>
          <w:lang w:val="en-GB"/>
        </w:rPr>
        <w:t>,</w:t>
      </w:r>
      <w:r w:rsidRPr="00C72FD6">
        <w:rPr>
          <w:rFonts w:ascii="Palatino Linotype" w:hAnsi="Palatino Linotype"/>
          <w:i/>
          <w:lang w:val="en-GB"/>
        </w:rPr>
        <w:t xml:space="preserve"> HSSCB</w:t>
      </w:r>
      <w:r w:rsidRPr="00C72FD6">
        <w:rPr>
          <w:rFonts w:ascii="Palatino Linotype" w:hAnsi="Palatino Linotype"/>
          <w:lang w:val="en-GB"/>
        </w:rPr>
        <w:t>: 29.</w:t>
      </w:r>
      <w:r>
        <w:rPr>
          <w:rFonts w:ascii="Palatino Linotype" w:hAnsi="Palatino Linotype"/>
          <w:lang w:val="en-GB"/>
        </w:rPr>
        <w:t xml:space="preserve"> </w:t>
      </w:r>
      <w:r w:rsidRPr="002E13AB">
        <w:rPr>
          <w:rFonts w:ascii="Palatino Linotype" w:hAnsi="Palatino Linotype"/>
          <w:lang w:val="en-GB"/>
        </w:rPr>
        <w:t>Other properties owned by the Susa family were rented by the ABCFM missionaries and British consuls throughout the nineteenth century.</w:t>
      </w:r>
      <w:r>
        <w:rPr>
          <w:rFonts w:ascii="Palatino Linotype" w:hAnsi="Palatino Linotype"/>
          <w:lang w:val="en-GB"/>
        </w:rPr>
        <w:t xml:space="preserve"> </w:t>
      </w:r>
      <w:r w:rsidRPr="002E13AB">
        <w:rPr>
          <w:rFonts w:ascii="Palatino Linotype" w:hAnsi="Palatino Linotype"/>
          <w:lang w:val="en-GB"/>
        </w:rPr>
        <w:t xml:space="preserve">Bodenstein, </w:t>
      </w:r>
      <w:r w:rsidRPr="002E13AB">
        <w:rPr>
          <w:rFonts w:ascii="Palatino Linotype" w:hAnsi="Palatino Linotype"/>
          <w:i/>
          <w:lang w:val="en-GB"/>
        </w:rPr>
        <w:t>et al.,</w:t>
      </w:r>
      <w:r w:rsidRPr="002E13AB">
        <w:rPr>
          <w:rFonts w:ascii="Palatino Linotype" w:hAnsi="Palatino Linotype"/>
          <w:lang w:val="en-GB"/>
        </w:rPr>
        <w:t xml:space="preserve"> ‘Walking Through Zokak el-Blat’: 29.</w:t>
      </w:r>
    </w:p>
  </w:footnote>
  <w:footnote w:id="4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180-181; Smith, ‘Letter to Brother [Isaac] B</w:t>
      </w:r>
      <w:r>
        <w:rPr>
          <w:rFonts w:ascii="Palatino Linotype" w:hAnsi="Palatino Linotype"/>
          <w:lang w:val="en-GB"/>
        </w:rPr>
        <w:t>ird’. The first name of this woma</w:t>
      </w:r>
      <w:r w:rsidRPr="00C72FD6">
        <w:rPr>
          <w:rFonts w:ascii="Palatino Linotype" w:hAnsi="Palatino Linotype"/>
          <w:lang w:val="en-GB"/>
        </w:rPr>
        <w:t xml:space="preserve">n is unclear. Some sources label her ‘Henrietta’, while others call her ‘Mehitable’ (Yale Divinity School, Harvard Houghton Library). She is most frequently regarded as ‘Hetty’, the name she employed for herself, which is used </w:t>
      </w:r>
      <w:r>
        <w:rPr>
          <w:rFonts w:ascii="Palatino Linotype" w:hAnsi="Palatino Linotype"/>
          <w:lang w:val="en-GB"/>
        </w:rPr>
        <w:t>throughout</w:t>
      </w:r>
      <w:r w:rsidRPr="00C72FD6">
        <w:rPr>
          <w:rFonts w:ascii="Palatino Linotype" w:hAnsi="Palatino Linotype"/>
          <w:lang w:val="en-GB"/>
        </w:rPr>
        <w:t xml:space="preserve"> this thesis.</w:t>
      </w:r>
    </w:p>
  </w:footnote>
  <w:footnote w:id="4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xml:space="preserve"> 182; Smith, ‘Letter to Brother [Isaac] Bird’.</w:t>
      </w:r>
    </w:p>
  </w:footnote>
  <w:footnote w:id="4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Henrietta Smith, ‘Letter to Sister’ (Beirut, 20 February 1847): YDS: ES Box 1: Folder 16; Henrietta Smith, ‘Letter to Brothers and Sisters’ (n.s., Early February 1850): YDS: ES Box 1: Folder 20.</w:t>
      </w:r>
    </w:p>
  </w:footnote>
  <w:footnote w:id="4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Smith, ‘Letter to Brother [Isaac] Bird’.</w:t>
      </w:r>
      <w:r>
        <w:rPr>
          <w:rFonts w:ascii="Palatino Linotype" w:hAnsi="Palatino Linotype"/>
          <w:lang w:val="en-GB"/>
        </w:rPr>
        <w:t xml:space="preserve"> No further information is available on this house or its owner.</w:t>
      </w:r>
    </w:p>
  </w:footnote>
  <w:footnote w:id="48">
    <w:p w:rsidR="007F7DD4" w:rsidRDefault="007F7DD4" w:rsidP="001761FF">
      <w:pPr>
        <w:pStyle w:val="FootnoteText"/>
        <w:ind w:left="90" w:hanging="90"/>
        <w:jc w:val="both"/>
      </w:pPr>
      <w:r>
        <w:rPr>
          <w:rStyle w:val="FootnoteReference"/>
        </w:rPr>
        <w:footnoteRef/>
      </w:r>
      <w:r>
        <w:t xml:space="preserve"> </w:t>
      </w:r>
      <w:r w:rsidRPr="008C4FDF">
        <w:rPr>
          <w:rFonts w:ascii="Palatino Linotype" w:hAnsi="Palatino Linotype"/>
          <w:lang w:val="en-GB"/>
        </w:rPr>
        <w:t xml:space="preserve">William M. Thomson, ‘Letter to Eli Smith’ (Beirut, 28 December [1838]): HHL: </w:t>
      </w:r>
      <w:r>
        <w:rPr>
          <w:rFonts w:ascii="Palatino Linotype" w:hAnsi="Palatino Linotype"/>
          <w:lang w:val="en-GB"/>
        </w:rPr>
        <w:t>ABC 60 (</w:t>
      </w:r>
      <w:r w:rsidRPr="008C4FDF">
        <w:rPr>
          <w:rFonts w:ascii="Palatino Linotype" w:hAnsi="Palatino Linotype"/>
          <w:lang w:val="en-GB"/>
        </w:rPr>
        <w:t>83</w:t>
      </w:r>
      <w:r>
        <w:rPr>
          <w:rFonts w:ascii="Palatino Linotype" w:hAnsi="Palatino Linotype"/>
          <w:lang w:val="en-GB"/>
        </w:rPr>
        <w:t>)</w:t>
      </w:r>
      <w:r w:rsidRPr="008C4FDF">
        <w:rPr>
          <w:rFonts w:ascii="Palatino Linotype" w:hAnsi="Palatino Linotype"/>
          <w:lang w:val="en-GB"/>
        </w:rPr>
        <w:t xml:space="preserve">; John William DeForest, </w:t>
      </w:r>
      <w:r w:rsidRPr="008C4FDF">
        <w:rPr>
          <w:rFonts w:ascii="Palatino Linotype" w:hAnsi="Palatino Linotype"/>
          <w:i/>
          <w:lang w:val="en-GB"/>
        </w:rPr>
        <w:t>Oriental Acquaintance; or, Letters from Syria</w:t>
      </w:r>
      <w:r w:rsidRPr="008C4FDF">
        <w:rPr>
          <w:rFonts w:ascii="Palatino Linotype" w:hAnsi="Palatino Linotype"/>
          <w:lang w:val="en-GB"/>
        </w:rPr>
        <w:t xml:space="preserve"> (New York: Miller and Holman, 1856): 41-42, 56-58.</w:t>
      </w:r>
      <w:r w:rsidRPr="002E13AB">
        <w:rPr>
          <w:rFonts w:ascii="Palatino Linotype" w:hAnsi="Palatino Linotype"/>
          <w:lang w:val="en-GB"/>
        </w:rPr>
        <w:t xml:space="preserve"> </w:t>
      </w:r>
    </w:p>
  </w:footnote>
  <w:footnote w:id="4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Meier, ‘Waqf Only in Name, Not in Essence: 204.</w:t>
      </w:r>
    </w:p>
  </w:footnote>
  <w:footnote w:id="5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Hanssen, ‘From Social Status to Intellectual Activity’: 62-63.</w:t>
      </w:r>
    </w:p>
  </w:footnote>
  <w:footnote w:id="51">
    <w:p w:rsidR="007F7DD4" w:rsidRPr="00C72FD6" w:rsidRDefault="007F7DD4" w:rsidP="001761FF">
      <w:pPr>
        <w:pStyle w:val="FootnoteText"/>
        <w:ind w:left="90" w:hanging="90"/>
        <w:jc w:val="both"/>
        <w:rPr>
          <w:rFonts w:ascii="Palatino Linotype" w:hAnsi="Palatino Linotype"/>
          <w:caps/>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These include the ‘Farewell Letter of Jonas King to his friends in Syria, in1825’ and ‘Mr. Bird’s Reply to th</w:t>
      </w:r>
      <w:r>
        <w:rPr>
          <w:rFonts w:ascii="Palatino Linotype" w:hAnsi="Palatino Linotype"/>
          <w:lang w:val="en-GB"/>
        </w:rPr>
        <w:t>e Maronite Bishop of Beirut’, b</w:t>
      </w:r>
      <w:r w:rsidRPr="00C72FD6">
        <w:rPr>
          <w:rFonts w:ascii="Palatino Linotype" w:hAnsi="Palatino Linotype"/>
          <w:lang w:val="en-GB"/>
        </w:rPr>
        <w:t>oth of which were translated into Arabic by the Mission Press. Anderson</w:t>
      </w:r>
      <w:r w:rsidRPr="00C72FD6">
        <w:rPr>
          <w:rFonts w:ascii="Palatino Linotype" w:hAnsi="Palatino Linotype"/>
          <w:i/>
          <w:lang w:val="en-GB"/>
        </w:rPr>
        <w:t>, HM</w:t>
      </w:r>
      <w:r w:rsidRPr="00C72FD6">
        <w:rPr>
          <w:rFonts w:ascii="Palatino Linotype" w:hAnsi="Palatino Linotype"/>
          <w:lang w:val="en-GB"/>
        </w:rPr>
        <w:t xml:space="preserve">: 514. Jonas King, </w:t>
      </w:r>
      <w:r w:rsidRPr="00C72FD6">
        <w:rPr>
          <w:rFonts w:ascii="Palatino Linotype" w:hAnsi="Palatino Linotype"/>
          <w:i/>
          <w:lang w:val="en-GB"/>
        </w:rPr>
        <w:t>The Oriental Church, and the Latin</w:t>
      </w:r>
      <w:r w:rsidRPr="00C72FD6">
        <w:rPr>
          <w:rFonts w:ascii="Palatino Linotype" w:hAnsi="Palatino Linotype"/>
          <w:lang w:val="en-GB"/>
        </w:rPr>
        <w:t xml:space="preserve"> (New York: John A. Gray and Green, 1865): 1-93.</w:t>
      </w:r>
    </w:p>
  </w:footnote>
  <w:footnote w:id="5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Some incidents of persecution did occur and are described in Salt, ‘Trouble Wherever They Went’: 143-166; Makdisi, </w:t>
      </w:r>
      <w:r w:rsidRPr="00C72FD6">
        <w:rPr>
          <w:rFonts w:ascii="Palatino Linotype" w:hAnsi="Palatino Linotype"/>
          <w:i/>
          <w:lang w:val="en-GB"/>
        </w:rPr>
        <w:t>Artillery of Heaven</w:t>
      </w:r>
      <w:r w:rsidRPr="00C72FD6">
        <w:rPr>
          <w:rFonts w:ascii="Palatino Linotype" w:hAnsi="Palatino Linotype"/>
          <w:lang w:val="en-GB"/>
        </w:rPr>
        <w:t>.</w:t>
      </w:r>
    </w:p>
  </w:footnote>
  <w:footnote w:id="5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Henry Harris Jessup, ‘Journal from June 23 to July 6, 1858’ (Tripoli, June/July 1858): YDS: HHJ Box 1: Folder 5; Henry Harris Jessup, ‘Letter to Brother Sammy’ (Tripoli, 7 May 1858): YDS: HHJ Box 1: Folder 5; Wortabet, </w:t>
      </w:r>
      <w:r w:rsidRPr="00C72FD6">
        <w:rPr>
          <w:rFonts w:ascii="Palatino Linotype" w:hAnsi="Palatino Linotype"/>
          <w:i/>
          <w:lang w:val="en-GB"/>
        </w:rPr>
        <w:t>SS: II</w:t>
      </w:r>
      <w:r w:rsidRPr="00C72FD6">
        <w:rPr>
          <w:rFonts w:ascii="Palatino Linotype" w:hAnsi="Palatino Linotype"/>
          <w:lang w:val="en-GB"/>
        </w:rPr>
        <w:t>: 4. Compare with the Jesuit’s bell ringing in Beirut, which was silenced by the Ottoman authorities. Smith, ‘The Papal Sects of Syria’.</w:t>
      </w:r>
    </w:p>
  </w:footnote>
  <w:footnote w:id="5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 xml:space="preserve">The new building measured thirty two by twenty two feet. </w:t>
      </w:r>
      <w:r w:rsidRPr="00C72FD6">
        <w:rPr>
          <w:rFonts w:ascii="Palatino Linotype" w:hAnsi="Palatino Linotype"/>
          <w:i/>
          <w:lang w:val="en-GB"/>
        </w:rPr>
        <w:t>MH</w:t>
      </w:r>
      <w:r w:rsidRPr="00C72FD6">
        <w:rPr>
          <w:rFonts w:ascii="Palatino Linotype" w:hAnsi="Palatino Linotype"/>
          <w:lang w:val="en-GB"/>
        </w:rPr>
        <w:t xml:space="preserve"> (1859): 76-77.</w:t>
      </w:r>
    </w:p>
  </w:footnote>
  <w:footnote w:id="5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 </w:t>
      </w:r>
      <w:r w:rsidRPr="00C72FD6">
        <w:rPr>
          <w:rFonts w:ascii="Palatino Linotype" w:hAnsi="Palatino Linotype"/>
          <w:i/>
          <w:lang w:val="en-GB"/>
        </w:rPr>
        <w:t>SS: II</w:t>
      </w:r>
      <w:r w:rsidRPr="00C72FD6">
        <w:rPr>
          <w:rFonts w:ascii="Palatino Linotype" w:hAnsi="Palatino Linotype"/>
          <w:lang w:val="en-GB"/>
        </w:rPr>
        <w:t xml:space="preserve">: 2; Effendi, </w:t>
      </w:r>
      <w:r w:rsidRPr="00C72FD6">
        <w:rPr>
          <w:rFonts w:ascii="Palatino Linotype" w:hAnsi="Palatino Linotype"/>
          <w:i/>
          <w:lang w:val="en-GB"/>
        </w:rPr>
        <w:t>The Thistle and the Cedar</w:t>
      </w:r>
      <w:r w:rsidRPr="00C72FD6">
        <w:rPr>
          <w:rFonts w:ascii="Palatino Linotype" w:hAnsi="Palatino Linotype"/>
          <w:lang w:val="en-GB"/>
        </w:rPr>
        <w:t>: 293.</w:t>
      </w:r>
    </w:p>
  </w:footnote>
  <w:footnote w:id="5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 </w:t>
      </w:r>
      <w:r w:rsidRPr="00C72FD6">
        <w:rPr>
          <w:rFonts w:ascii="Palatino Linotype" w:hAnsi="Palatino Linotype"/>
          <w:i/>
          <w:lang w:val="en-GB"/>
        </w:rPr>
        <w:t>SS: II</w:t>
      </w:r>
      <w:r w:rsidRPr="00C72FD6">
        <w:rPr>
          <w:rFonts w:ascii="Palatino Linotype" w:hAnsi="Palatino Linotype"/>
          <w:lang w:val="en-GB"/>
        </w:rPr>
        <w:t>: 2.</w:t>
      </w:r>
    </w:p>
  </w:footnote>
  <w:footnote w:id="5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 </w:t>
      </w:r>
      <w:r w:rsidRPr="00C72FD6">
        <w:rPr>
          <w:rFonts w:ascii="Palatino Linotype" w:hAnsi="Palatino Linotype"/>
          <w:i/>
          <w:lang w:val="en-GB"/>
        </w:rPr>
        <w:t>SS:</w:t>
      </w:r>
      <w:r w:rsidRPr="00C72FD6">
        <w:rPr>
          <w:rFonts w:ascii="Palatino Linotype" w:hAnsi="Palatino Linotype"/>
          <w:lang w:val="en-GB"/>
        </w:rPr>
        <w:t xml:space="preserve"> </w:t>
      </w:r>
      <w:r w:rsidRPr="00C72FD6">
        <w:rPr>
          <w:rFonts w:ascii="Palatino Linotype" w:hAnsi="Palatino Linotype"/>
          <w:i/>
          <w:lang w:val="en-GB"/>
        </w:rPr>
        <w:t>II</w:t>
      </w:r>
      <w:r w:rsidRPr="00C72FD6">
        <w:rPr>
          <w:rFonts w:ascii="Palatino Linotype" w:hAnsi="Palatino Linotype"/>
          <w:lang w:val="en-GB"/>
        </w:rPr>
        <w:t>: 2.</w:t>
      </w:r>
    </w:p>
  </w:footnote>
  <w:footnote w:id="5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DeForest, ‘Journal’ (n.s.: 1842): 550B-562. Eli Smith, ‘Letter to Brother’ (Bhamdoun: 14 August 1834): YDS: ES Box 1: Folder 3; Charles Henry Smith, ‘Letter to Papa’ (Beirut, August 1845): YDS: ES Box 3: Folder 111.</w:t>
      </w:r>
    </w:p>
  </w:footnote>
  <w:footnote w:id="5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w:t>
      </w:r>
      <w:r w:rsidRPr="00C72FD6">
        <w:rPr>
          <w:rFonts w:ascii="Palatino Linotype" w:hAnsi="Palatino Linotype"/>
          <w:lang w:val="en-GB"/>
        </w:rPr>
        <w:t xml:space="preserve">Hooker, </w:t>
      </w:r>
      <w:r w:rsidRPr="00C72FD6">
        <w:rPr>
          <w:rFonts w:ascii="Palatino Linotype" w:hAnsi="Palatino Linotype"/>
          <w:i/>
          <w:lang w:val="en-GB"/>
        </w:rPr>
        <w:t>MSLS</w:t>
      </w:r>
      <w:r w:rsidRPr="00C72FD6">
        <w:rPr>
          <w:rFonts w:ascii="Palatino Linotype" w:hAnsi="Palatino Linotype"/>
          <w:lang w:val="en-GB"/>
        </w:rPr>
        <w:t xml:space="preserve">: 182; </w:t>
      </w:r>
      <w:r w:rsidRPr="00F06F02">
        <w:rPr>
          <w:rFonts w:ascii="Palatino Linotype" w:hAnsi="Palatino Linotype"/>
        </w:rPr>
        <w:t xml:space="preserve">Henrietta Smith, </w:t>
      </w:r>
      <w:r>
        <w:rPr>
          <w:rFonts w:ascii="Palatino Linotype" w:hAnsi="Palatino Linotype"/>
        </w:rPr>
        <w:t>‘Fragment Letter’ (</w:t>
      </w:r>
      <w:r w:rsidRPr="00F06F02">
        <w:rPr>
          <w:rFonts w:ascii="Palatino Linotype" w:hAnsi="Palatino Linotype"/>
        </w:rPr>
        <w:t>n.s.</w:t>
      </w:r>
      <w:r>
        <w:rPr>
          <w:rFonts w:ascii="Palatino Linotype" w:hAnsi="Palatino Linotype"/>
        </w:rPr>
        <w:t>, [late] 1850):</w:t>
      </w:r>
      <w:r w:rsidRPr="00F06F02">
        <w:rPr>
          <w:rFonts w:ascii="Palatino Linotype" w:hAnsi="Palatino Linotype"/>
        </w:rPr>
        <w:t xml:space="preserve"> YDS: ES</w:t>
      </w:r>
      <w:r>
        <w:rPr>
          <w:rFonts w:ascii="Palatino Linotype" w:hAnsi="Palatino Linotype"/>
        </w:rPr>
        <w:t xml:space="preserve"> Box 1: Folder 20</w:t>
      </w:r>
      <w:r w:rsidRPr="00C72FD6">
        <w:rPr>
          <w:rFonts w:ascii="Palatino Linotype" w:hAnsi="Palatino Linotype"/>
          <w:lang w:val="en-GB"/>
        </w:rPr>
        <w:t>; Charles Henry Smith, ‘Letter to Papa’ (Beirut, 11 June 1856): YDS: ES Box 1: Folder 12.</w:t>
      </w:r>
    </w:p>
  </w:footnote>
  <w:footnote w:id="6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w:t>
      </w:r>
      <w:r w:rsidRPr="00C72FD6">
        <w:rPr>
          <w:rFonts w:ascii="Palatino Linotype" w:hAnsi="Palatino Linotype"/>
          <w:lang w:val="en-GB"/>
        </w:rPr>
        <w:t xml:space="preserve">Henrietta Smith, ‘Letter to Sister’ (n.s., 23 April [1852]): YDS: ES Box 1: Folder 22; Henrietta Smith, ‘Letter to Sister’ (Beirut, 1 January 1849): YDS: ES Box 1: Folder 19; Hooker, </w:t>
      </w:r>
      <w:r w:rsidRPr="00C72FD6">
        <w:rPr>
          <w:rFonts w:ascii="Palatino Linotype" w:hAnsi="Palatino Linotype"/>
          <w:i/>
          <w:lang w:val="en-GB"/>
        </w:rPr>
        <w:t>MSLS</w:t>
      </w:r>
      <w:r w:rsidRPr="00C72FD6">
        <w:rPr>
          <w:rFonts w:ascii="Palatino Linotype" w:hAnsi="Palatino Linotype"/>
          <w:lang w:val="en-GB"/>
        </w:rPr>
        <w:t>: 182-183.</w:t>
      </w:r>
    </w:p>
  </w:footnote>
  <w:footnote w:id="6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w:t>
      </w:r>
      <w:r w:rsidRPr="00C72FD6">
        <w:rPr>
          <w:rFonts w:ascii="Palatino Linotype" w:hAnsi="Palatino Linotype"/>
          <w:lang w:val="en-GB"/>
        </w:rPr>
        <w:t xml:space="preserve">Hooker, </w:t>
      </w:r>
      <w:r w:rsidRPr="00C72FD6">
        <w:rPr>
          <w:rFonts w:ascii="Palatino Linotype" w:hAnsi="Palatino Linotype"/>
          <w:i/>
          <w:lang w:val="en-GB"/>
        </w:rPr>
        <w:t>MSLS</w:t>
      </w:r>
      <w:r w:rsidRPr="00C72FD6">
        <w:rPr>
          <w:rFonts w:ascii="Palatino Linotype" w:hAnsi="Palatino Linotype"/>
          <w:lang w:val="en-GB"/>
        </w:rPr>
        <w:t>: 181; Henrietta Smith, ‘Letter to Sister’ (Beirut, 11 May 1857): YDS: ES Box 1: Folder 17.</w:t>
      </w:r>
    </w:p>
  </w:footnote>
  <w:footnote w:id="6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Bodenstein, ‘The Making and Remaking of Zokak el-Blat’: 37-41</w:t>
      </w:r>
      <w:r>
        <w:rPr>
          <w:rFonts w:ascii="Palatino Linotype" w:hAnsi="Palatino Linotype"/>
          <w:lang w:val="en-GB"/>
        </w:rPr>
        <w:t>.</w:t>
      </w:r>
    </w:p>
  </w:footnote>
  <w:footnote w:id="6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Davie, </w:t>
      </w:r>
      <w:r w:rsidRPr="00C72FD6">
        <w:rPr>
          <w:rFonts w:ascii="Palatino Linotype" w:hAnsi="Palatino Linotype"/>
          <w:i/>
          <w:lang w:val="en-GB"/>
        </w:rPr>
        <w:t>Beyrouth</w:t>
      </w:r>
      <w:r w:rsidRPr="00C72FD6">
        <w:rPr>
          <w:rFonts w:ascii="Palatino Linotype" w:hAnsi="Palatino Linotype"/>
          <w:lang w:val="en-GB"/>
        </w:rPr>
        <w:t>: 24.</w:t>
      </w:r>
    </w:p>
  </w:footnote>
  <w:footnote w:id="6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Beadle, ‘Letter concerning books’; Elias R. Beadle, ‘Letter to the Brethren Who Shall Be Designated to Aleppo’ (Aleppo, 22 May 1841): ABCFM microfilm Unit 5: Near East: Reel 539: 147-148; Smith, ‘Letter to Rebecca Williams’; Elias R. Beadle, ‘Letter to Rev. and Sir’ (Beirut, 3 November 1839): ABCFM microfilm Unit 5: Near East: Reel 539: 121-124.</w:t>
      </w:r>
    </w:p>
  </w:footnote>
  <w:footnote w:id="6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e..g. Henrietta Smith, ‘Letter to Sisters’ (Beirut, 8 May 1850): YDS: ES Box 1: Folder 20; Smith, ‘Letter to Sisters’ (Beirut, 8 May 1850); Smith, ‘Letter to Sister’ (20 February 1847); Henrietta Smith, ‘Letter to Sister: attached to Eli Smith’s letter to Brother’ (Bhamdoun, 29 June 1849): YDS: ES Box 1: Folder 7; Henrietta Smith, ‘Letter to Mother’ (Beirut, 11 March 1848): YDS: ES Box 1: Folder 18</w:t>
      </w:r>
      <w:r>
        <w:rPr>
          <w:rFonts w:ascii="Palatino Linotype" w:hAnsi="Palatino Linotype"/>
          <w:lang w:val="en-GB"/>
        </w:rPr>
        <w:t>.</w:t>
      </w:r>
    </w:p>
  </w:footnote>
  <w:footnote w:id="6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Beadle, ‘Letter concerning books’</w:t>
      </w:r>
      <w:r>
        <w:rPr>
          <w:rFonts w:ascii="Palatino Linotype" w:hAnsi="Palatino Linotype"/>
          <w:lang w:val="en-GB"/>
        </w:rPr>
        <w:t>.</w:t>
      </w:r>
    </w:p>
  </w:footnote>
  <w:footnote w:id="6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Lin, </w:t>
      </w:r>
      <w:r w:rsidRPr="00C72FD6">
        <w:rPr>
          <w:rFonts w:ascii="Palatino Linotype" w:hAnsi="Palatino Linotype"/>
          <w:i/>
          <w:lang w:val="en-GB"/>
        </w:rPr>
        <w:t>Social Capital</w:t>
      </w:r>
      <w:r w:rsidRPr="00C72FD6">
        <w:rPr>
          <w:rFonts w:ascii="Palatino Linotype" w:hAnsi="Palatino Linotype"/>
          <w:lang w:val="en-GB"/>
        </w:rPr>
        <w:t>: 19.</w:t>
      </w:r>
    </w:p>
  </w:footnote>
  <w:footnote w:id="68">
    <w:p w:rsidR="007F7DD4" w:rsidRPr="00C72FD6" w:rsidRDefault="007F7DD4" w:rsidP="001761FF">
      <w:pPr>
        <w:pStyle w:val="FootnoteText"/>
        <w:ind w:left="90" w:hanging="90"/>
        <w:jc w:val="both"/>
        <w:rPr>
          <w:rFonts w:ascii="Palatino Linotype" w:hAnsi="Palatino Linotype"/>
        </w:rPr>
      </w:pPr>
      <w:r w:rsidRPr="00C72FD6">
        <w:rPr>
          <w:rStyle w:val="FootnoteReference"/>
          <w:rFonts w:ascii="Palatino Linotype" w:hAnsi="Palatino Linotype"/>
        </w:rPr>
        <w:footnoteRef/>
      </w:r>
      <w:r w:rsidRPr="00C72FD6">
        <w:rPr>
          <w:rFonts w:ascii="Palatino Linotype" w:hAnsi="Palatino Linotype"/>
        </w:rPr>
        <w:t xml:space="preserve"> Compare with the use of letters to by Latin missionaries and the </w:t>
      </w:r>
      <w:r w:rsidRPr="005E7098">
        <w:rPr>
          <w:rFonts w:ascii="Palatino Linotype" w:hAnsi="Palatino Linotype"/>
          <w:bCs/>
          <w:i/>
          <w:lang w:val="en-GB"/>
        </w:rPr>
        <w:t>‛abidāt</w:t>
      </w:r>
      <w:r w:rsidRPr="00C72FD6">
        <w:rPr>
          <w:rFonts w:ascii="Palatino Linotype" w:hAnsi="Palatino Linotype"/>
        </w:rPr>
        <w:t xml:space="preserve">. Khater, ‘God has Called Me to be Free’: </w:t>
      </w:r>
      <w:r w:rsidRPr="00C72FD6">
        <w:rPr>
          <w:rFonts w:ascii="Palatino Linotype" w:hAnsi="Palatino Linotype"/>
          <w:lang w:val="en-GB"/>
        </w:rPr>
        <w:t xml:space="preserve">421-443. An interesting criticism against female education in Syria was the fear that women would ‘write letters’. Jessup, </w:t>
      </w:r>
      <w:r w:rsidRPr="00C72FD6">
        <w:rPr>
          <w:rFonts w:ascii="Palatino Linotype" w:hAnsi="Palatino Linotype"/>
          <w:i/>
          <w:lang w:val="en-GB"/>
        </w:rPr>
        <w:t>WA</w:t>
      </w:r>
      <w:r w:rsidRPr="00C72FD6">
        <w:rPr>
          <w:rFonts w:ascii="Palatino Linotype" w:hAnsi="Palatino Linotype"/>
          <w:lang w:val="en-GB"/>
        </w:rPr>
        <w:t>: 17.</w:t>
      </w:r>
    </w:p>
  </w:footnote>
  <w:footnote w:id="6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Butrus </w:t>
      </w:r>
      <w:r>
        <w:rPr>
          <w:rFonts w:ascii="Palatino Linotype" w:hAnsi="Palatino Linotype"/>
          <w:lang w:val="en-GB"/>
        </w:rPr>
        <w:t>al-Bustani</w:t>
      </w:r>
      <w:r w:rsidRPr="00C72FD6">
        <w:rPr>
          <w:rFonts w:ascii="Palatino Linotype" w:hAnsi="Palatino Linotype"/>
          <w:lang w:val="en-GB"/>
        </w:rPr>
        <w:t xml:space="preserve">, ‘Letter to Eli Smith’ (Abeih, 27 June 1853): HHL: </w:t>
      </w:r>
      <w:r>
        <w:rPr>
          <w:rFonts w:ascii="Palatino Linotype" w:hAnsi="Palatino Linotype"/>
          <w:lang w:val="en-GB"/>
        </w:rPr>
        <w:t>ABC 60 (</w:t>
      </w:r>
      <w:r w:rsidRPr="00C72FD6">
        <w:rPr>
          <w:rFonts w:ascii="Palatino Linotype" w:hAnsi="Palatino Linotype"/>
          <w:lang w:val="en-GB"/>
        </w:rPr>
        <w:t>12</w:t>
      </w:r>
      <w:r>
        <w:rPr>
          <w:rFonts w:ascii="Palatino Linotype" w:hAnsi="Palatino Linotype"/>
          <w:lang w:val="en-GB"/>
        </w:rPr>
        <w:t>)</w:t>
      </w:r>
      <w:r w:rsidRPr="00C72FD6">
        <w:rPr>
          <w:rFonts w:ascii="Palatino Linotype" w:hAnsi="Palatino Linotype"/>
          <w:lang w:val="en-GB"/>
        </w:rPr>
        <w:t xml:space="preserve">; Rahil </w:t>
      </w:r>
      <w:r>
        <w:rPr>
          <w:rFonts w:ascii="Palatino Linotype" w:hAnsi="Palatino Linotype"/>
          <w:lang w:val="en-GB"/>
        </w:rPr>
        <w:t>al-Bustani</w:t>
      </w:r>
      <w:r w:rsidRPr="00C72FD6">
        <w:rPr>
          <w:rFonts w:ascii="Palatino Linotype" w:hAnsi="Palatino Linotype"/>
          <w:lang w:val="en-GB"/>
        </w:rPr>
        <w:t xml:space="preserve">, ‘Letter to Eli Smith’ (n.s., n.d.): HHL: </w:t>
      </w:r>
      <w:r>
        <w:rPr>
          <w:rFonts w:ascii="Palatino Linotype" w:hAnsi="Palatino Linotype"/>
          <w:lang w:val="en-GB"/>
        </w:rPr>
        <w:t>ABC 60 (</w:t>
      </w:r>
      <w:r w:rsidRPr="00C72FD6">
        <w:rPr>
          <w:rFonts w:ascii="Palatino Linotype" w:hAnsi="Palatino Linotype"/>
          <w:lang w:val="en-GB"/>
        </w:rPr>
        <w:t>12</w:t>
      </w:r>
      <w:r>
        <w:rPr>
          <w:rFonts w:ascii="Palatino Linotype" w:hAnsi="Palatino Linotype"/>
          <w:lang w:val="en-GB"/>
        </w:rPr>
        <w:t>)</w:t>
      </w:r>
      <w:r w:rsidRPr="00C72FD6">
        <w:rPr>
          <w:rFonts w:ascii="Palatino Linotype" w:hAnsi="Palatino Linotype"/>
          <w:lang w:val="en-GB"/>
        </w:rPr>
        <w:t xml:space="preserve">; Jasper Chasseaud, ‘Letter to Eli Smith’ (Beirut, 5 October 1841): HHL: </w:t>
      </w:r>
      <w:r>
        <w:rPr>
          <w:rFonts w:ascii="Palatino Linotype" w:hAnsi="Palatino Linotype"/>
          <w:lang w:val="en-GB"/>
        </w:rPr>
        <w:t>ABC 60 (</w:t>
      </w:r>
      <w:r w:rsidRPr="00C72FD6">
        <w:rPr>
          <w:rFonts w:ascii="Palatino Linotype" w:hAnsi="Palatino Linotype"/>
          <w:lang w:val="en-GB"/>
        </w:rPr>
        <w:t>15</w:t>
      </w:r>
      <w:r>
        <w:rPr>
          <w:rFonts w:ascii="Palatino Linotype" w:hAnsi="Palatino Linotype"/>
          <w:lang w:val="en-GB"/>
        </w:rPr>
        <w:t>)</w:t>
      </w:r>
      <w:r w:rsidRPr="00C72FD6">
        <w:rPr>
          <w:rFonts w:ascii="Palatino Linotype" w:hAnsi="Palatino Linotype"/>
          <w:lang w:val="en-GB"/>
        </w:rPr>
        <w:t>; Smith, ‘Letter to Papa’ (Beirut, 11 June 1856</w:t>
      </w:r>
      <w:r>
        <w:rPr>
          <w:rFonts w:ascii="Palatino Linotype" w:hAnsi="Palatino Linotype"/>
          <w:lang w:val="en-GB"/>
        </w:rPr>
        <w:t>).</w:t>
      </w:r>
      <w:r w:rsidRPr="00C72FD6">
        <w:rPr>
          <w:rFonts w:ascii="Palatino Linotype" w:hAnsi="Palatino Linotype"/>
          <w:lang w:val="en-GB"/>
        </w:rPr>
        <w:t xml:space="preserve">  </w:t>
      </w:r>
    </w:p>
  </w:footnote>
  <w:footnote w:id="7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William M. Thomson, ‘Letter to Solyman Pasha’ (Beirut, 1 July 1840): ABCFM microfilm Unit 5: Near East: Reel 539: 361-362; Hanssen, ‘Practices of Integration-Centre-Periphery Relations’: 61-63.</w:t>
      </w:r>
    </w:p>
  </w:footnote>
  <w:footnote w:id="7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(1856): 56-57.</w:t>
      </w:r>
    </w:p>
  </w:footnote>
  <w:footnote w:id="7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‘American Protestant Missionary Beginnings’: 223-239.</w:t>
      </w:r>
    </w:p>
  </w:footnote>
  <w:footnote w:id="7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Smith, ‘Letter’ (Beirut: 18 January 1847).</w:t>
      </w:r>
    </w:p>
  </w:footnote>
  <w:footnote w:id="7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Catherine DeForest, ‘Letter to Eli Smith’ (n.s., 9 September 1845): HHL: </w:t>
      </w:r>
      <w:r>
        <w:rPr>
          <w:rFonts w:ascii="Palatino Linotype" w:hAnsi="Palatino Linotype"/>
          <w:lang w:val="en-GB"/>
        </w:rPr>
        <w:t>ABC 60 (</w:t>
      </w:r>
      <w:r w:rsidRPr="00C72FD6">
        <w:rPr>
          <w:rFonts w:ascii="Palatino Linotype" w:hAnsi="Palatino Linotype"/>
          <w:lang w:val="en-GB"/>
        </w:rPr>
        <w:t>17</w:t>
      </w:r>
      <w:r>
        <w:rPr>
          <w:rFonts w:ascii="Palatino Linotype" w:hAnsi="Palatino Linotype"/>
          <w:lang w:val="en-GB"/>
        </w:rPr>
        <w:t>)</w:t>
      </w:r>
      <w:r w:rsidRPr="00C72FD6">
        <w:rPr>
          <w:rFonts w:ascii="Palatino Linotype" w:hAnsi="Palatino Linotype"/>
          <w:lang w:val="en-GB"/>
        </w:rPr>
        <w:t>.</w:t>
      </w:r>
    </w:p>
  </w:footnote>
  <w:footnote w:id="7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Sarah Smith quoted in Jessup, WA: 128-131; Smith, ‘Letter to Rebecca Williams’ (Beirut, 13 May 1834)</w:t>
      </w:r>
      <w:r>
        <w:rPr>
          <w:rFonts w:ascii="Palatino Linotype" w:hAnsi="Palatino Linotype"/>
          <w:lang w:val="en-GB"/>
        </w:rPr>
        <w:t>.</w:t>
      </w:r>
    </w:p>
  </w:footnote>
  <w:footnote w:id="76">
    <w:p w:rsidR="007F7DD4" w:rsidRPr="00C72FD6" w:rsidRDefault="007F7DD4" w:rsidP="001761FF">
      <w:pPr>
        <w:pStyle w:val="FootnoteText"/>
        <w:ind w:left="90" w:hanging="90"/>
        <w:jc w:val="both"/>
        <w:rPr>
          <w:rFonts w:ascii="Palatino Linotype" w:hAnsi="Palatino Linotype"/>
        </w:rPr>
      </w:pPr>
      <w:r w:rsidRPr="00C72FD6">
        <w:rPr>
          <w:rStyle w:val="FootnoteReference"/>
          <w:rFonts w:ascii="Palatino Linotype" w:hAnsi="Palatino Linotype"/>
        </w:rPr>
        <w:footnoteRef/>
      </w:r>
      <w:r w:rsidRPr="00C72FD6">
        <w:rPr>
          <w:rFonts w:ascii="Palatino Linotype" w:hAnsi="Palatino Linotype"/>
        </w:rPr>
        <w:t xml:space="preserve"> </w:t>
      </w:r>
      <w:r>
        <w:rPr>
          <w:rFonts w:ascii="Palatino Linotype" w:hAnsi="Palatino Linotype"/>
        </w:rPr>
        <w:t xml:space="preserve">The </w:t>
      </w:r>
      <w:r w:rsidRPr="00C72FD6">
        <w:rPr>
          <w:rFonts w:ascii="Palatino Linotype" w:hAnsi="Palatino Linotype"/>
        </w:rPr>
        <w:t xml:space="preserve">Jesuits </w:t>
      </w:r>
      <w:r>
        <w:rPr>
          <w:rFonts w:ascii="Palatino Linotype" w:hAnsi="Palatino Linotype"/>
        </w:rPr>
        <w:t>also conducted</w:t>
      </w:r>
      <w:r w:rsidRPr="00C72FD6">
        <w:rPr>
          <w:rFonts w:ascii="Palatino Linotype" w:hAnsi="Palatino Linotype"/>
        </w:rPr>
        <w:t xml:space="preserve"> ‘door-to-door’ campaign</w:t>
      </w:r>
      <w:r>
        <w:rPr>
          <w:rFonts w:ascii="Palatino Linotype" w:hAnsi="Palatino Linotype"/>
        </w:rPr>
        <w:t>s during</w:t>
      </w:r>
      <w:r w:rsidRPr="00C72FD6">
        <w:rPr>
          <w:rFonts w:ascii="Palatino Linotype" w:hAnsi="Palatino Linotype"/>
        </w:rPr>
        <w:t xml:space="preserve"> their missionary activities</w:t>
      </w:r>
      <w:r>
        <w:rPr>
          <w:rFonts w:ascii="Palatino Linotype" w:hAnsi="Palatino Linotype"/>
        </w:rPr>
        <w:t xml:space="preserve"> in eighteenth century Aleppo</w:t>
      </w:r>
      <w:r w:rsidRPr="00C72FD6">
        <w:rPr>
          <w:rFonts w:ascii="Palatino Linotype" w:hAnsi="Palatino Linotype"/>
        </w:rPr>
        <w:t>. Khater, ‘God has Called Me to be Free’: 425.</w:t>
      </w:r>
    </w:p>
  </w:footnote>
  <w:footnote w:id="7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Leila Hudson, ‘Networks: The Ottoman Empire’, in: S. Joseph, (ed.), </w:t>
      </w:r>
      <w:r w:rsidRPr="00C72FD6">
        <w:rPr>
          <w:rFonts w:ascii="Palatino Linotype" w:hAnsi="Palatino Linotype"/>
          <w:i/>
          <w:lang w:val="en-GB"/>
        </w:rPr>
        <w:t>EWIC: II: Family, Law and Politics</w:t>
      </w:r>
      <w:r w:rsidRPr="00C72FD6">
        <w:rPr>
          <w:rFonts w:ascii="Palatino Linotype" w:hAnsi="Palatino Linotype"/>
          <w:lang w:val="en-GB"/>
        </w:rPr>
        <w:t xml:space="preserve"> (Leiden: Brill, 2005): 530.</w:t>
      </w:r>
    </w:p>
  </w:footnote>
  <w:footnote w:id="7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Prime, </w:t>
      </w:r>
      <w:r w:rsidRPr="00C72FD6">
        <w:rPr>
          <w:rFonts w:ascii="Palatino Linotype" w:hAnsi="Palatino Linotype"/>
          <w:i/>
          <w:lang w:val="en-GB"/>
        </w:rPr>
        <w:t>Forty Years in the Turkish Empire:</w:t>
      </w:r>
      <w:r w:rsidRPr="00C72FD6">
        <w:rPr>
          <w:rFonts w:ascii="Palatino Linotype" w:hAnsi="Palatino Linotype"/>
          <w:lang w:val="en-GB"/>
        </w:rPr>
        <w:t xml:space="preserve"> 108; Smith, ‘Letter’ (Beirut, 18 January 1847); Henry DeForest, ‘Letter to R. Anderson’ (Abeih, 15 August 1850), in: J. Yazigy, ‘American Presbyterian Mission Schools in Lebanon’ (M.A. Thesis) (Beirut: University of Beirut, 1964): 138-142.</w:t>
      </w:r>
    </w:p>
  </w:footnote>
  <w:footnote w:id="7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Bliss, </w:t>
      </w:r>
      <w:r w:rsidRPr="00C72FD6">
        <w:rPr>
          <w:rFonts w:ascii="Palatino Linotype" w:hAnsi="Palatino Linotype"/>
          <w:i/>
          <w:lang w:val="en-GB"/>
        </w:rPr>
        <w:t>RDS</w:t>
      </w:r>
      <w:r w:rsidRPr="00C72FD6">
        <w:rPr>
          <w:rFonts w:ascii="Palatino Linotype" w:hAnsi="Palatino Linotype"/>
          <w:lang w:val="en-GB"/>
        </w:rPr>
        <w:t xml:space="preserve">: 127-128; Robinson and Smith, </w:t>
      </w:r>
      <w:r w:rsidRPr="00C72FD6">
        <w:rPr>
          <w:rFonts w:ascii="Palatino Linotype" w:hAnsi="Palatino Linotype"/>
          <w:i/>
          <w:lang w:val="en-GB"/>
        </w:rPr>
        <w:t>BR</w:t>
      </w:r>
      <w:r w:rsidRPr="00C72FD6">
        <w:rPr>
          <w:rFonts w:ascii="Palatino Linotype" w:hAnsi="Palatino Linotype"/>
          <w:lang w:val="en-GB"/>
        </w:rPr>
        <w:t xml:space="preserve">: 461; Wortabet, </w:t>
      </w:r>
      <w:r w:rsidRPr="00C72FD6">
        <w:rPr>
          <w:rFonts w:ascii="Palatino Linotype" w:hAnsi="Palatino Linotype"/>
          <w:i/>
          <w:lang w:val="en-GB"/>
        </w:rPr>
        <w:t>SS: I</w:t>
      </w:r>
      <w:r w:rsidRPr="00C72FD6">
        <w:rPr>
          <w:rFonts w:ascii="Palatino Linotype" w:hAnsi="Palatino Linotype"/>
          <w:lang w:val="en-GB"/>
        </w:rPr>
        <w:t>: 140, 310.</w:t>
      </w:r>
    </w:p>
  </w:footnote>
  <w:footnote w:id="8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181.</w:t>
      </w:r>
    </w:p>
  </w:footnote>
  <w:footnote w:id="8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(1857): 147-148; </w:t>
      </w:r>
      <w:r w:rsidRPr="00C72FD6">
        <w:rPr>
          <w:rFonts w:ascii="Palatino Linotype" w:hAnsi="Palatino Linotype"/>
          <w:i/>
          <w:lang w:val="en-GB"/>
        </w:rPr>
        <w:t>MH</w:t>
      </w:r>
      <w:r w:rsidRPr="00C72FD6">
        <w:rPr>
          <w:rFonts w:ascii="Palatino Linotype" w:hAnsi="Palatino Linotype"/>
          <w:lang w:val="en-GB"/>
        </w:rPr>
        <w:t xml:space="preserve"> (1859): 137.</w:t>
      </w:r>
    </w:p>
  </w:footnote>
  <w:footnote w:id="8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(1859): 76-78.</w:t>
      </w:r>
    </w:p>
  </w:footnote>
  <w:footnote w:id="8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(1836): 419; Hooker, </w:t>
      </w:r>
      <w:r w:rsidRPr="00C72FD6">
        <w:rPr>
          <w:rFonts w:ascii="Palatino Linotype" w:hAnsi="Palatino Linotype"/>
          <w:i/>
          <w:lang w:val="en-GB"/>
        </w:rPr>
        <w:t>MSLS</w:t>
      </w:r>
      <w:r w:rsidRPr="00C72FD6">
        <w:rPr>
          <w:rFonts w:ascii="Palatino Linotype" w:hAnsi="Palatino Linotype"/>
          <w:lang w:val="en-GB"/>
        </w:rPr>
        <w:t>: 133; Samuel Wolcott, ‘Letter to Sir’ (n.s., 9 May 1840): ABCFM microfilm Unit 5: Near East: Reel 539: 341.</w:t>
      </w:r>
    </w:p>
  </w:footnote>
  <w:footnote w:id="8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For example see Hooker, </w:t>
      </w:r>
      <w:r w:rsidRPr="00C72FD6">
        <w:rPr>
          <w:rFonts w:ascii="Palatino Linotype" w:hAnsi="Palatino Linotype"/>
          <w:i/>
          <w:lang w:val="en-GB"/>
        </w:rPr>
        <w:t>MSLS</w:t>
      </w:r>
      <w:r w:rsidRPr="00C72FD6">
        <w:rPr>
          <w:rFonts w:ascii="Palatino Linotype" w:hAnsi="Palatino Linotype"/>
          <w:lang w:val="en-GB"/>
        </w:rPr>
        <w:t>: 129, 182, 215-216, 277-278.</w:t>
      </w:r>
    </w:p>
  </w:footnote>
  <w:footnote w:id="8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w:t>
      </w:r>
      <w:r w:rsidRPr="00C72FD6">
        <w:rPr>
          <w:rFonts w:ascii="Palatino Linotype" w:hAnsi="Palatino Linotype"/>
          <w:lang w:val="en-GB"/>
        </w:rPr>
        <w:t xml:space="preserve">: 405. </w:t>
      </w:r>
      <w:r>
        <w:rPr>
          <w:rFonts w:ascii="Palatino Linotype" w:hAnsi="Palatino Linotype"/>
          <w:lang w:val="en-GB"/>
        </w:rPr>
        <w:t xml:space="preserve">The constraints of analysing baptismal records in Syria are investigated in </w:t>
      </w:r>
      <w:r w:rsidRPr="009B594E">
        <w:rPr>
          <w:rFonts w:ascii="Palatino Linotype" w:hAnsi="Palatino Linotype"/>
          <w:lang w:val="en-GB"/>
        </w:rPr>
        <w:t xml:space="preserve">Patricia Mihaly Nabti, ‘Gendering Sources in Ethnohistorical Research: The Study of Emigration from a Lebanese Village’, in: A. Sonbol, (ed.), </w:t>
      </w:r>
      <w:r w:rsidRPr="009B594E">
        <w:rPr>
          <w:rFonts w:ascii="Palatino Linotype" w:hAnsi="Palatino Linotype"/>
          <w:i/>
          <w:lang w:val="en-GB"/>
        </w:rPr>
        <w:t>Beyond the Exotic: Women’s History in Islamic Societies (</w:t>
      </w:r>
      <w:r w:rsidRPr="009B594E">
        <w:rPr>
          <w:rFonts w:ascii="Palatino Linotype" w:hAnsi="Palatino Linotype"/>
          <w:lang w:val="en-GB"/>
        </w:rPr>
        <w:t>Syracuse: Syracuse University Press, 2005): 53-68.</w:t>
      </w:r>
    </w:p>
  </w:footnote>
  <w:footnote w:id="8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Effendi, </w:t>
      </w:r>
      <w:r w:rsidRPr="00C72FD6">
        <w:rPr>
          <w:rFonts w:ascii="Palatino Linotype" w:hAnsi="Palatino Linotype"/>
          <w:i/>
          <w:lang w:val="en-GB"/>
        </w:rPr>
        <w:t>The Thistle and the Cedar of Lebanon</w:t>
      </w:r>
      <w:r w:rsidRPr="00C72FD6">
        <w:rPr>
          <w:rFonts w:ascii="Palatino Linotype" w:hAnsi="Palatino Linotype"/>
          <w:lang w:val="en-GB"/>
        </w:rPr>
        <w:t>: 235</w:t>
      </w:r>
    </w:p>
  </w:footnote>
  <w:footnote w:id="8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Eli Smith, ‘Baptism Note’ (n.s., n.d.): HHL: </w:t>
      </w:r>
      <w:r>
        <w:rPr>
          <w:rFonts w:ascii="Palatino Linotype" w:hAnsi="Palatino Linotype"/>
          <w:lang w:val="en-GB"/>
        </w:rPr>
        <w:t>ABC 60 (</w:t>
      </w:r>
      <w:r w:rsidRPr="00C72FD6">
        <w:rPr>
          <w:rFonts w:ascii="Palatino Linotype" w:hAnsi="Palatino Linotype"/>
          <w:lang w:val="en-GB"/>
        </w:rPr>
        <w:t>126</w:t>
      </w:r>
      <w:r>
        <w:rPr>
          <w:rFonts w:ascii="Palatino Linotype" w:hAnsi="Palatino Linotype"/>
          <w:lang w:val="en-GB"/>
        </w:rPr>
        <w:t>)</w:t>
      </w:r>
      <w:r w:rsidRPr="00C72FD6">
        <w:rPr>
          <w:rFonts w:ascii="Palatino Linotype" w:hAnsi="Palatino Linotype"/>
          <w:lang w:val="en-GB"/>
        </w:rPr>
        <w:t xml:space="preserve">. The Protestant Baptismal ceremony was based upon the Anglican </w:t>
      </w:r>
      <w:r w:rsidRPr="00C72FD6">
        <w:rPr>
          <w:rFonts w:ascii="Palatino Linotype" w:hAnsi="Palatino Linotype"/>
          <w:i/>
          <w:lang w:val="en-GB"/>
        </w:rPr>
        <w:t>Book of Common Prayer</w:t>
      </w:r>
      <w:r w:rsidRPr="00C72FD6">
        <w:rPr>
          <w:rFonts w:ascii="Palatino Linotype" w:hAnsi="Palatino Linotype"/>
          <w:lang w:val="en-GB"/>
        </w:rPr>
        <w:t xml:space="preserve">. See ‘The Ministration of Public Baptism of Infants’, ‘The Ministration of Private Baptism of Children’ and ‘The Ministration of Baptism to such as are of Riper Years’, in: n.s., </w:t>
      </w:r>
      <w:r w:rsidRPr="00C72FD6">
        <w:rPr>
          <w:rFonts w:ascii="Palatino Linotype" w:hAnsi="Palatino Linotype"/>
          <w:i/>
          <w:lang w:val="en-GB"/>
        </w:rPr>
        <w:t xml:space="preserve">The Book of Common Prayer, And Administration of the Sacraments, and Other Rites and Ceremonies of the Church </w:t>
      </w:r>
      <w:r w:rsidRPr="00C72FD6">
        <w:rPr>
          <w:rFonts w:ascii="Palatino Linotype" w:hAnsi="Palatino Linotype"/>
          <w:lang w:val="en-GB"/>
        </w:rPr>
        <w:t xml:space="preserve">(Philadelphia: Hall and Sellers, 1790). </w:t>
      </w:r>
    </w:p>
  </w:footnote>
  <w:footnote w:id="8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Henrietta Smith, ‘Letter to Sister’ (Bhamdoun, 9 September 1847): YDS: ES Box 1: Folder 17. </w:t>
      </w:r>
    </w:p>
  </w:footnote>
  <w:footnote w:id="8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Eli Smith, ‘Letter to Parents’ (Beirut, 30 May 1842): YDS: ES Box 1: Folder 6. </w:t>
      </w:r>
    </w:p>
  </w:footnote>
  <w:footnote w:id="9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(1827): 111; </w:t>
      </w:r>
      <w:r w:rsidRPr="00C72FD6">
        <w:rPr>
          <w:rFonts w:ascii="Palatino Linotype" w:hAnsi="Palatino Linotype"/>
          <w:i/>
          <w:lang w:val="en-GB"/>
        </w:rPr>
        <w:t>MH</w:t>
      </w:r>
      <w:r w:rsidRPr="00C72FD6">
        <w:rPr>
          <w:rFonts w:ascii="Palatino Linotype" w:hAnsi="Palatino Linotype"/>
          <w:lang w:val="en-GB"/>
        </w:rPr>
        <w:t xml:space="preserve"> (1859): 77; </w:t>
      </w:r>
      <w:r w:rsidRPr="00C72FD6">
        <w:rPr>
          <w:rFonts w:ascii="Palatino Linotype" w:hAnsi="Palatino Linotype"/>
          <w:i/>
          <w:lang w:val="en-GB"/>
        </w:rPr>
        <w:t>MH</w:t>
      </w:r>
      <w:r w:rsidRPr="00C72FD6">
        <w:rPr>
          <w:rFonts w:ascii="Palatino Linotype" w:hAnsi="Palatino Linotype"/>
          <w:lang w:val="en-GB"/>
        </w:rPr>
        <w:t xml:space="preserve"> (1838): 475. It appears that the ABCFM missionaries minimised their celebrations of religious feast, such as Easter and Christmas, which </w:t>
      </w:r>
      <w:r>
        <w:rPr>
          <w:rFonts w:ascii="Palatino Linotype" w:hAnsi="Palatino Linotype"/>
          <w:lang w:val="en-GB"/>
        </w:rPr>
        <w:t xml:space="preserve">were </w:t>
      </w:r>
      <w:r w:rsidRPr="00C72FD6">
        <w:rPr>
          <w:rFonts w:ascii="Palatino Linotype" w:hAnsi="Palatino Linotype"/>
          <w:lang w:val="en-GB"/>
        </w:rPr>
        <w:t xml:space="preserve">only marked with passing reference in letters. This may have been a way to contrast their Christianity to that practiced in Syria, where religious feasts and fasts were important aspects of Christian spirituality. The occasions when Protestant baptisms coincide with religious holidays, such as Christmas, were for Syrian Protestant children and non-ABCFM Protestants, like Chasseaud families. Gabriel Chasseaud, ‘Notice of Baptism for Adelaide Charlotte Abbott’ (Beirut, 25 December 1830): [British] PRO: FO 616/1; Gabriel Chasseaud, ‘Notice of Baptism for William Peter Augustus Chasseaud’ (Beirut, 25 December 1830): [British] PRO: FO 616/1; Gabriel Chasseaud, ‘Notice of Baptism for Alfred Augustus Barker Chasseaud’ (Beirut, 8 January 1832): [British] PRO: FO 616/1. </w:t>
      </w:r>
    </w:p>
  </w:footnote>
  <w:footnote w:id="9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Naming was part of ‘The Ministration of Public Baptism of Infants’, ‘The Ministration of Private Baptism of Children’ of the n.s., </w:t>
      </w:r>
      <w:r w:rsidRPr="00C72FD6">
        <w:rPr>
          <w:rFonts w:ascii="Palatino Linotype" w:hAnsi="Palatino Linotype"/>
          <w:i/>
          <w:lang w:val="en-GB"/>
        </w:rPr>
        <w:t>The Book of Common Prayer</w:t>
      </w:r>
      <w:r w:rsidRPr="00C72FD6">
        <w:rPr>
          <w:rFonts w:ascii="Palatino Linotype" w:hAnsi="Palatino Linotype"/>
          <w:lang w:val="en-GB"/>
        </w:rPr>
        <w:t>.</w:t>
      </w:r>
    </w:p>
  </w:footnote>
  <w:footnote w:id="9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Samuel H. Williams, ‘Rebecca Williams Hebard of Lebanon, Connecticut: Missionary in Beirut, Syria and to the Druze of Mount Lebanon, 1835-1840’ (n.s., 1950): 12.</w:t>
      </w:r>
    </w:p>
  </w:footnote>
  <w:footnote w:id="9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See Hooker, </w:t>
      </w:r>
      <w:r w:rsidRPr="00C72FD6">
        <w:rPr>
          <w:rFonts w:ascii="Palatino Linotype" w:hAnsi="Palatino Linotype"/>
          <w:i/>
          <w:lang w:val="en-GB"/>
        </w:rPr>
        <w:t>MSLS</w:t>
      </w:r>
      <w:r w:rsidRPr="00C72FD6">
        <w:rPr>
          <w:rFonts w:ascii="Palatino Linotype" w:hAnsi="Palatino Linotype"/>
          <w:lang w:val="en-GB"/>
        </w:rPr>
        <w:t>: 53, 57.</w:t>
      </w:r>
    </w:p>
  </w:footnote>
  <w:footnote w:id="9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(1827): 19.</w:t>
      </w:r>
    </w:p>
  </w:footnote>
  <w:footnote w:id="9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 xml:space="preserve">MH </w:t>
      </w:r>
      <w:r w:rsidRPr="00C72FD6">
        <w:rPr>
          <w:rFonts w:ascii="Palatino Linotype" w:hAnsi="Palatino Linotype"/>
          <w:lang w:val="en-GB"/>
        </w:rPr>
        <w:t>(1843): 282-284.</w:t>
      </w:r>
    </w:p>
  </w:footnote>
  <w:footnote w:id="9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rPr>
        <w:footnoteRef/>
      </w:r>
      <w:r w:rsidRPr="00C72FD6">
        <w:rPr>
          <w:rFonts w:ascii="Palatino Linotype" w:hAnsi="Palatino Linotype"/>
        </w:rPr>
        <w:t xml:space="preserve"> For an analysis on how marriage and conversion continue</w:t>
      </w:r>
      <w:r>
        <w:rPr>
          <w:rFonts w:ascii="Palatino Linotype" w:hAnsi="Palatino Linotype"/>
        </w:rPr>
        <w:t xml:space="preserve">d </w:t>
      </w:r>
      <w:r w:rsidRPr="00C72FD6">
        <w:rPr>
          <w:rFonts w:ascii="Palatino Linotype" w:hAnsi="Palatino Linotype"/>
        </w:rPr>
        <w:t xml:space="preserve">to affect Christian communities in the Levant see </w:t>
      </w:r>
      <w:r w:rsidRPr="00C72FD6">
        <w:rPr>
          <w:rFonts w:ascii="Palatino Linotype" w:hAnsi="Palatino Linotype"/>
          <w:lang w:val="en-GB"/>
        </w:rPr>
        <w:t xml:space="preserve">Willy Jansen, ‘Conversion, Marriage, and Gender: Jordanians and the Christian Mission’, </w:t>
      </w:r>
      <w:r w:rsidRPr="00C72FD6">
        <w:rPr>
          <w:rFonts w:ascii="Palatino Linotype" w:hAnsi="Palatino Linotype"/>
          <w:i/>
          <w:lang w:val="en-GB"/>
        </w:rPr>
        <w:t xml:space="preserve">Swedish Missiological Themes </w:t>
      </w:r>
      <w:r w:rsidRPr="00C72FD6">
        <w:rPr>
          <w:rFonts w:ascii="Palatino Linotype" w:hAnsi="Palatino Linotype"/>
          <w:lang w:val="en-GB"/>
        </w:rPr>
        <w:t>(2004):</w:t>
      </w:r>
      <w:r w:rsidRPr="00C72FD6">
        <w:rPr>
          <w:rFonts w:ascii="Palatino Linotype" w:hAnsi="Palatino Linotype"/>
          <w:i/>
          <w:lang w:val="en-GB"/>
        </w:rPr>
        <w:t xml:space="preserve"> </w:t>
      </w:r>
      <w:r w:rsidRPr="00C72FD6">
        <w:rPr>
          <w:rFonts w:ascii="Palatino Linotype" w:hAnsi="Palatino Linotype"/>
          <w:lang w:val="en-GB"/>
        </w:rPr>
        <w:t xml:space="preserve">99-122. </w:t>
      </w:r>
    </w:p>
  </w:footnote>
  <w:footnote w:id="9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Gabriel Chasseau</w:t>
      </w:r>
      <w:r>
        <w:rPr>
          <w:rFonts w:ascii="Palatino Linotype" w:hAnsi="Palatino Linotype"/>
          <w:lang w:val="en-GB"/>
        </w:rPr>
        <w:t>d</w:t>
      </w:r>
      <w:r w:rsidRPr="00C72FD6">
        <w:rPr>
          <w:rFonts w:ascii="Palatino Linotype" w:hAnsi="Palatino Linotype"/>
          <w:lang w:val="en-GB"/>
        </w:rPr>
        <w:t xml:space="preserve">, ‘Register of Marriage between Fredrick Catherwood Esq. and Gertrude Abbott’ (Beirut: 5 March 1834): [British] PRO: FO 616/2.Compare ‘The Form of Solemnization of Matrimony’, n.s., </w:t>
      </w:r>
      <w:r w:rsidRPr="00C72FD6">
        <w:rPr>
          <w:rFonts w:ascii="Palatino Linotype" w:hAnsi="Palatino Linotype"/>
          <w:i/>
          <w:lang w:val="en-GB"/>
        </w:rPr>
        <w:t xml:space="preserve">The Book of Common Prayer </w:t>
      </w:r>
      <w:r w:rsidRPr="00C72FD6">
        <w:rPr>
          <w:rFonts w:ascii="Palatino Linotype" w:hAnsi="Palatino Linotype"/>
          <w:lang w:val="en-GB"/>
        </w:rPr>
        <w:t xml:space="preserve">with and Eli Smith, ‘Marriage Note’ (n.s., n.d.): HHL: </w:t>
      </w:r>
      <w:r>
        <w:rPr>
          <w:rFonts w:ascii="Palatino Linotype" w:hAnsi="Palatino Linotype"/>
          <w:lang w:val="en-GB"/>
        </w:rPr>
        <w:t>ABC 60 (</w:t>
      </w:r>
      <w:r w:rsidRPr="00C72FD6">
        <w:rPr>
          <w:rFonts w:ascii="Palatino Linotype" w:hAnsi="Palatino Linotype"/>
          <w:lang w:val="en-GB"/>
        </w:rPr>
        <w:t>126</w:t>
      </w:r>
      <w:r>
        <w:rPr>
          <w:rFonts w:ascii="Palatino Linotype" w:hAnsi="Palatino Linotype"/>
          <w:lang w:val="en-GB"/>
        </w:rPr>
        <w:t>)</w:t>
      </w:r>
      <w:r w:rsidRPr="00C72FD6">
        <w:rPr>
          <w:rFonts w:ascii="Palatino Linotype" w:hAnsi="Palatino Linotype"/>
          <w:lang w:val="en-GB"/>
        </w:rPr>
        <w:t>.</w:t>
      </w:r>
    </w:p>
  </w:footnote>
  <w:footnote w:id="9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e.g. Hooker, </w:t>
      </w:r>
      <w:r w:rsidRPr="00C72FD6">
        <w:rPr>
          <w:rFonts w:ascii="Palatino Linotype" w:hAnsi="Palatino Linotype"/>
          <w:i/>
          <w:lang w:val="en-GB"/>
        </w:rPr>
        <w:t>MSLS</w:t>
      </w:r>
      <w:r w:rsidRPr="00C72FD6">
        <w:rPr>
          <w:rFonts w:ascii="Palatino Linotype" w:hAnsi="Palatino Linotype"/>
          <w:lang w:val="en-GB"/>
        </w:rPr>
        <w:t>: 207-211; Smith, ‘Letter to Brothers and Sisters’ (Early February 1850).</w:t>
      </w:r>
    </w:p>
  </w:footnote>
  <w:footnote w:id="99">
    <w:p w:rsidR="007F7DD4" w:rsidRPr="00C72FD6" w:rsidRDefault="007F7DD4" w:rsidP="001761FF">
      <w:pPr>
        <w:pStyle w:val="FootnoteText"/>
        <w:ind w:left="90" w:hanging="90"/>
        <w:jc w:val="both"/>
        <w:rPr>
          <w:rFonts w:ascii="Palatino Linotype" w:hAnsi="Palatino Linotype"/>
        </w:rPr>
      </w:pPr>
      <w:r w:rsidRPr="00C72FD6">
        <w:rPr>
          <w:rStyle w:val="FootnoteReference"/>
          <w:rFonts w:ascii="Palatino Linotype" w:hAnsi="Palatino Linotype"/>
        </w:rPr>
        <w:footnoteRef/>
      </w:r>
      <w:r w:rsidRPr="00C72FD6">
        <w:rPr>
          <w:rFonts w:ascii="Palatino Linotype" w:hAnsi="Palatino Linotype"/>
        </w:rPr>
        <w:t xml:space="preserve"> </w:t>
      </w:r>
      <w:r>
        <w:rPr>
          <w:rFonts w:ascii="Palatino Linotype" w:hAnsi="Palatino Linotype"/>
        </w:rPr>
        <w:t>The w</w:t>
      </w:r>
      <w:r w:rsidRPr="00C72FD6">
        <w:rPr>
          <w:rFonts w:ascii="Palatino Linotype" w:hAnsi="Palatino Linotype"/>
        </w:rPr>
        <w:t>edding ceremonies conducted on Mount Lebanon during the nineteenth century are examined in Klink ‘Beyond the Tantur’: 186-239.</w:t>
      </w:r>
    </w:p>
  </w:footnote>
  <w:footnote w:id="10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Henrietta Smith, ‘Letter to Sister’ (Beirut, 3 May 1851): YDS: ES Box 1: Folder 25.</w:t>
      </w:r>
    </w:p>
  </w:footnote>
  <w:footnote w:id="10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Whiting, Thomson and Van Dyck, ‘Letter to R. Anderson’ (Abeih, 7 June 1845)</w:t>
      </w:r>
      <w:r>
        <w:rPr>
          <w:rFonts w:ascii="Palatino Linotype" w:hAnsi="Palatino Linotype"/>
          <w:lang w:val="en-GB"/>
        </w:rPr>
        <w:t>.</w:t>
      </w:r>
    </w:p>
  </w:footnote>
  <w:footnote w:id="102">
    <w:p w:rsidR="007F7DD4" w:rsidRPr="00F55091" w:rsidRDefault="007F7DD4" w:rsidP="001761FF">
      <w:pPr>
        <w:pStyle w:val="FootnoteText"/>
        <w:ind w:left="90" w:hanging="90"/>
        <w:jc w:val="both"/>
        <w:rPr>
          <w:rFonts w:ascii="Palatino Linotype" w:hAnsi="Palatino Linotype"/>
        </w:rPr>
      </w:pPr>
      <w:r w:rsidRPr="00F55091">
        <w:rPr>
          <w:rStyle w:val="FootnoteReference"/>
          <w:rFonts w:ascii="Palatino Linotype" w:hAnsi="Palatino Linotype"/>
        </w:rPr>
        <w:footnoteRef/>
      </w:r>
      <w:r>
        <w:rPr>
          <w:rFonts w:ascii="Palatino Linotype" w:hAnsi="Palatino Linotype"/>
        </w:rPr>
        <w:t xml:space="preserve"> My</w:t>
      </w:r>
      <w:r w:rsidRPr="00F55091">
        <w:rPr>
          <w:rFonts w:ascii="Palatino Linotype" w:hAnsi="Palatino Linotype"/>
        </w:rPr>
        <w:t xml:space="preserve"> use of ‘disinterestedness’ differs from B</w:t>
      </w:r>
      <w:r w:rsidRPr="00F55091">
        <w:rPr>
          <w:rFonts w:ascii="Palatino Linotype" w:hAnsi="Palatino Linotype"/>
          <w:lang w:val="en-GB"/>
        </w:rPr>
        <w:t>ourdieu’s use of the term, to describe an aspect of bourgeois capital in France.</w:t>
      </w:r>
      <w:r w:rsidRPr="00F55091">
        <w:rPr>
          <w:rFonts w:ascii="Palatino Linotype" w:hAnsi="Palatino Linotype"/>
          <w:sz w:val="24"/>
          <w:szCs w:val="24"/>
        </w:rPr>
        <w:t xml:space="preserve"> </w:t>
      </w:r>
      <w:r w:rsidRPr="00F55091">
        <w:rPr>
          <w:rFonts w:ascii="Palatino Linotype" w:hAnsi="Palatino Linotype"/>
        </w:rPr>
        <w:t xml:space="preserve">Bourdieu, </w:t>
      </w:r>
      <w:r w:rsidRPr="00F55091">
        <w:rPr>
          <w:rFonts w:ascii="Palatino Linotype" w:hAnsi="Palatino Linotype"/>
          <w:i/>
        </w:rPr>
        <w:t>Distinction</w:t>
      </w:r>
      <w:r w:rsidRPr="00F55091">
        <w:rPr>
          <w:rFonts w:ascii="Palatino Linotype" w:hAnsi="Palatino Linotype"/>
        </w:rPr>
        <w:t>: 41.</w:t>
      </w:r>
    </w:p>
  </w:footnote>
  <w:footnote w:id="10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Eli Smith, ‘The Missionary Character: An Address Delivered Before the Society of Inquiry into the Theological Seminary in New Haven. (April 1, 1840)’ (New Haven: B.L. Hamlen, 1840): 14; Hooker, </w:t>
      </w:r>
      <w:r w:rsidRPr="00C72FD6">
        <w:rPr>
          <w:rFonts w:ascii="Palatino Linotype" w:hAnsi="Palatino Linotype"/>
          <w:i/>
          <w:lang w:val="en-GB"/>
        </w:rPr>
        <w:t>MSLS</w:t>
      </w:r>
      <w:r w:rsidRPr="00C72FD6">
        <w:rPr>
          <w:rFonts w:ascii="Palatino Linotype" w:hAnsi="Palatino Linotype"/>
          <w:lang w:val="en-GB"/>
        </w:rPr>
        <w:t>: 2, 28; Badr, ‘Missions to “Nominal Christians”’: 3.</w:t>
      </w:r>
    </w:p>
  </w:footnote>
  <w:footnote w:id="10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(1842): 229.</w:t>
      </w:r>
    </w:p>
  </w:footnote>
  <w:footnote w:id="10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Farah, </w:t>
      </w:r>
      <w:r w:rsidRPr="00C72FD6">
        <w:rPr>
          <w:rFonts w:ascii="Palatino Linotype" w:hAnsi="Palatino Linotype"/>
          <w:i/>
          <w:lang w:val="en-GB"/>
        </w:rPr>
        <w:t>The Politics of Interventionalism</w:t>
      </w:r>
      <w:r w:rsidRPr="00C72FD6">
        <w:rPr>
          <w:rFonts w:ascii="Palatino Linotype" w:hAnsi="Palatino Linotype"/>
          <w:lang w:val="en-GB"/>
        </w:rPr>
        <w:t>: 19-20.</w:t>
      </w:r>
    </w:p>
  </w:footnote>
  <w:footnote w:id="10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w:t>
      </w:r>
      <w:r w:rsidRPr="00C72FD6">
        <w:rPr>
          <w:rFonts w:ascii="Palatino Linotype" w:hAnsi="Palatino Linotype"/>
          <w:lang w:val="en-GB"/>
        </w:rPr>
        <w:t>This perceived difference underlined the ABCFM’s accounts of civil disputes on Mount Lebanon. See Thomas Laurie, ‘Letter to Mr. Josiah Olgood’ (Beirut, 19 May 1845): ABCFM microfilm Unit 5: Near East: Reel 540: 225-230; Whiting, Thomson and Van Dyck, ‘Letter to R. Anderson’</w:t>
      </w:r>
      <w:r>
        <w:rPr>
          <w:rFonts w:ascii="Palatino Linotype" w:hAnsi="Palatino Linotype"/>
          <w:lang w:val="en-GB"/>
        </w:rPr>
        <w:t xml:space="preserve"> </w:t>
      </w:r>
      <w:r w:rsidRPr="00084683">
        <w:rPr>
          <w:rFonts w:ascii="Palatino Linotype" w:hAnsi="Palatino Linotype"/>
          <w:lang w:val="en-GB"/>
        </w:rPr>
        <w:t>(Abeih, 7 June 1845).</w:t>
      </w:r>
    </w:p>
  </w:footnote>
  <w:footnote w:id="107">
    <w:p w:rsidR="007F7DD4" w:rsidRPr="00C72FD6" w:rsidRDefault="007F7DD4" w:rsidP="001761FF">
      <w:pPr>
        <w:pStyle w:val="FootnoteText"/>
        <w:ind w:left="90" w:hanging="90"/>
        <w:jc w:val="both"/>
        <w:rPr>
          <w:rFonts w:ascii="Palatino Linotype" w:hAnsi="Palatino Linotype"/>
        </w:rPr>
      </w:pPr>
      <w:r w:rsidRPr="00C72FD6">
        <w:rPr>
          <w:rStyle w:val="FootnoteReference"/>
          <w:rFonts w:ascii="Palatino Linotype" w:hAnsi="Palatino Linotype"/>
        </w:rPr>
        <w:footnoteRef/>
      </w:r>
      <w:r w:rsidRPr="00C72FD6">
        <w:rPr>
          <w:rFonts w:ascii="Palatino Linotype" w:hAnsi="Palatino Linotype"/>
        </w:rPr>
        <w:t xml:space="preserve"> </w:t>
      </w:r>
      <w:r>
        <w:rPr>
          <w:rFonts w:ascii="Palatino Linotype" w:hAnsi="Palatino Linotype"/>
        </w:rPr>
        <w:t>Differences within this relationship need to be</w:t>
      </w:r>
      <w:r w:rsidRPr="00D230D7">
        <w:rPr>
          <w:rFonts w:ascii="Palatino Linotype" w:hAnsi="Palatino Linotype"/>
          <w:lang w:val="en-GB"/>
        </w:rPr>
        <w:t xml:space="preserve"> recognised</w:t>
      </w:r>
      <w:r>
        <w:rPr>
          <w:rFonts w:ascii="Palatino Linotype" w:hAnsi="Palatino Linotype"/>
        </w:rPr>
        <w:t xml:space="preserve"> so that some </w:t>
      </w:r>
      <w:r w:rsidRPr="00C72FD6">
        <w:rPr>
          <w:rFonts w:ascii="Palatino Linotype" w:hAnsi="Palatino Linotype"/>
        </w:rPr>
        <w:t>consuls, like J. Hosford Smith, were closer to the ABCFM missionaries, while others, like Jasper and Gabriel Chasseaud held friendly, but more distant associations.</w:t>
      </w:r>
    </w:p>
  </w:footnote>
  <w:footnote w:id="10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Smith, ‘Letter to Brother [Isaac] Bird’</w:t>
      </w:r>
      <w:r>
        <w:rPr>
          <w:rFonts w:ascii="Palatino Linotype" w:hAnsi="Palatino Linotype"/>
          <w:lang w:val="en-GB"/>
        </w:rPr>
        <w:t xml:space="preserve"> (Beirut, 27 November 1850)</w:t>
      </w:r>
      <w:r w:rsidRPr="00C72FD6">
        <w:rPr>
          <w:rFonts w:ascii="Palatino Linotype" w:hAnsi="Palatino Linotype"/>
          <w:lang w:val="en-GB"/>
        </w:rPr>
        <w:t>; Henrietta Smith, ‘Letter to Sister’ (Beirut, 31 August 1851): YDS: ES Box 1: Folder 21.</w:t>
      </w:r>
    </w:p>
  </w:footnote>
  <w:footnote w:id="10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Smith</w:t>
      </w:r>
      <w:r w:rsidRPr="00C72FD6">
        <w:rPr>
          <w:rFonts w:ascii="Palatino Linotype" w:hAnsi="Palatino Linotype"/>
          <w:lang w:val="en-GB"/>
        </w:rPr>
        <w:t>, ‘Fragment Letter’ (n.s., [late] 1850)</w:t>
      </w:r>
      <w:r>
        <w:rPr>
          <w:rFonts w:ascii="Palatino Linotype" w:hAnsi="Palatino Linotype"/>
          <w:lang w:val="en-GB"/>
        </w:rPr>
        <w:t>.</w:t>
      </w:r>
    </w:p>
  </w:footnote>
  <w:footnote w:id="11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‘Missions to “Nominal Christians”’: 222, 226-227, 241-243</w:t>
      </w:r>
    </w:p>
  </w:footnote>
  <w:footnote w:id="11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(1845): 282-284.</w:t>
      </w:r>
    </w:p>
  </w:footnote>
  <w:footnote w:id="11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E761D2">
        <w:rPr>
          <w:rFonts w:ascii="Palatino Linotype" w:hAnsi="Palatino Linotype"/>
          <w:i/>
          <w:lang w:val="en-GB"/>
        </w:rPr>
        <w:t>MH</w:t>
      </w:r>
      <w:r w:rsidRPr="00E761D2">
        <w:rPr>
          <w:rFonts w:ascii="Palatino Linotype" w:hAnsi="Palatino Linotype"/>
          <w:lang w:val="en-GB"/>
        </w:rPr>
        <w:t xml:space="preserve"> (1830): 177; </w:t>
      </w:r>
      <w:r w:rsidRPr="00E761D2">
        <w:rPr>
          <w:rFonts w:ascii="Palatino Linotype" w:hAnsi="Palatino Linotype"/>
          <w:i/>
          <w:lang w:val="en-GB"/>
        </w:rPr>
        <w:t>MH</w:t>
      </w:r>
      <w:r w:rsidRPr="00E761D2">
        <w:rPr>
          <w:rFonts w:ascii="Palatino Linotype" w:hAnsi="Palatino Linotype"/>
          <w:lang w:val="en-GB"/>
        </w:rPr>
        <w:t xml:space="preserve"> (1839): 41</w:t>
      </w:r>
      <w:r>
        <w:rPr>
          <w:rFonts w:ascii="Palatino Linotype" w:hAnsi="Palatino Linotype"/>
          <w:lang w:val="en-GB"/>
        </w:rPr>
        <w:t xml:space="preserve">; </w:t>
      </w:r>
      <w:r w:rsidRPr="00C72FD6">
        <w:rPr>
          <w:rFonts w:ascii="Palatino Linotype" w:hAnsi="Palatino Linotype"/>
          <w:lang w:val="en-GB"/>
        </w:rPr>
        <w:t xml:space="preserve">Churchill, </w:t>
      </w:r>
      <w:r w:rsidRPr="00C72FD6">
        <w:rPr>
          <w:rFonts w:ascii="Palatino Linotype" w:hAnsi="Palatino Linotype"/>
          <w:i/>
          <w:lang w:val="en-GB"/>
        </w:rPr>
        <w:t>Mount Lebanon: I</w:t>
      </w:r>
      <w:r>
        <w:rPr>
          <w:rFonts w:ascii="Palatino Linotype" w:hAnsi="Palatino Linotype"/>
          <w:lang w:val="en-GB"/>
        </w:rPr>
        <w:t xml:space="preserve">: 210; </w:t>
      </w:r>
      <w:r w:rsidRPr="00C72FD6">
        <w:rPr>
          <w:rFonts w:ascii="Palatino Linotype" w:hAnsi="Palatino Linotype"/>
          <w:lang w:val="en-GB"/>
        </w:rPr>
        <w:t>Whiting and Thomson, ‘On the Results o</w:t>
      </w:r>
      <w:r>
        <w:rPr>
          <w:rFonts w:ascii="Palatino Linotype" w:hAnsi="Palatino Linotype"/>
          <w:lang w:val="en-GB"/>
        </w:rPr>
        <w:t>f Past Labours in the Mission’</w:t>
      </w:r>
      <w:r w:rsidRPr="00C72FD6">
        <w:rPr>
          <w:rFonts w:ascii="Palatino Linotype" w:hAnsi="Palatino Linotype"/>
          <w:lang w:val="en-GB"/>
        </w:rPr>
        <w:t xml:space="preserve">. The British Foreign office </w:t>
      </w:r>
      <w:r>
        <w:rPr>
          <w:rFonts w:ascii="Palatino Linotype" w:hAnsi="Palatino Linotype"/>
          <w:lang w:val="en-GB"/>
        </w:rPr>
        <w:t>was</w:t>
      </w:r>
      <w:r w:rsidRPr="00C72FD6">
        <w:rPr>
          <w:rFonts w:ascii="Palatino Linotype" w:hAnsi="Palatino Linotype"/>
          <w:lang w:val="en-GB"/>
        </w:rPr>
        <w:t xml:space="preserve"> also hesitant of supporting a </w:t>
      </w:r>
      <w:r>
        <w:rPr>
          <w:rFonts w:ascii="Palatino Linotype" w:hAnsi="Palatino Linotype"/>
          <w:lang w:val="en-GB"/>
        </w:rPr>
        <w:t>new millet</w:t>
      </w:r>
      <w:r w:rsidRPr="00C72FD6">
        <w:rPr>
          <w:rFonts w:ascii="Palatino Linotype" w:hAnsi="Palatino Linotype"/>
          <w:lang w:val="en-GB"/>
        </w:rPr>
        <w:t xml:space="preserve"> for fear that it would unsettle the region. [George Hamilton Gordon], ‘Dispatch entry’ (n.s., 19 September 1844): [British] PRO: FO 615/2.</w:t>
      </w:r>
    </w:p>
  </w:footnote>
  <w:footnote w:id="11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(1836): 463; </w:t>
      </w:r>
      <w:r w:rsidRPr="00C72FD6">
        <w:rPr>
          <w:rFonts w:ascii="Palatino Linotype" w:hAnsi="Palatino Linotype"/>
          <w:i/>
          <w:lang w:val="en-GB"/>
        </w:rPr>
        <w:t>MH</w:t>
      </w:r>
      <w:r w:rsidRPr="00C72FD6">
        <w:rPr>
          <w:rFonts w:ascii="Palatino Linotype" w:hAnsi="Palatino Linotype"/>
          <w:lang w:val="en-GB"/>
        </w:rPr>
        <w:t xml:space="preserve"> (1848): 123-124.</w:t>
      </w:r>
    </w:p>
  </w:footnote>
  <w:footnote w:id="11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(1844): 320. </w:t>
      </w:r>
    </w:p>
  </w:footnote>
  <w:footnote w:id="11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(1845): 148-149, 205; Anderson</w:t>
      </w:r>
      <w:r w:rsidRPr="00C72FD6">
        <w:rPr>
          <w:rFonts w:ascii="Palatino Linotype" w:hAnsi="Palatino Linotype"/>
          <w:i/>
          <w:lang w:val="en-GB"/>
        </w:rPr>
        <w:t>, HM</w:t>
      </w:r>
      <w:r w:rsidRPr="00C72FD6">
        <w:rPr>
          <w:rFonts w:ascii="Palatino Linotype" w:hAnsi="Palatino Linotype"/>
          <w:lang w:val="en-GB"/>
        </w:rPr>
        <w:t>: 367-368.</w:t>
      </w:r>
    </w:p>
  </w:footnote>
  <w:footnote w:id="11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Churchill, </w:t>
      </w:r>
      <w:r w:rsidRPr="00C72FD6">
        <w:rPr>
          <w:rFonts w:ascii="Palatino Linotype" w:hAnsi="Palatino Linotype"/>
          <w:i/>
          <w:lang w:val="en-GB"/>
        </w:rPr>
        <w:t>Mount Lebanon</w:t>
      </w:r>
      <w:r w:rsidRPr="00C72FD6">
        <w:rPr>
          <w:rFonts w:ascii="Palatino Linotype" w:hAnsi="Palatino Linotype"/>
          <w:lang w:val="en-GB"/>
        </w:rPr>
        <w:t>: 187-188.</w:t>
      </w:r>
    </w:p>
  </w:footnote>
  <w:footnote w:id="11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 </w:t>
      </w:r>
      <w:r w:rsidRPr="00C72FD6">
        <w:rPr>
          <w:rFonts w:ascii="Palatino Linotype" w:hAnsi="Palatino Linotype"/>
          <w:lang w:val="en-GB"/>
        </w:rPr>
        <w:t>399.</w:t>
      </w:r>
    </w:p>
  </w:footnote>
  <w:footnote w:id="118">
    <w:p w:rsidR="007F7DD4" w:rsidRPr="00B001C4" w:rsidRDefault="007F7DD4" w:rsidP="001761FF">
      <w:pPr>
        <w:pStyle w:val="FootnoteText"/>
        <w:ind w:left="90" w:hanging="90"/>
        <w:jc w:val="both"/>
        <w:rPr>
          <w:rFonts w:ascii="Palatino Linotype" w:hAnsi="Palatino Linotype"/>
          <w:lang w:val="en-GB"/>
        </w:rPr>
      </w:pPr>
      <w:r w:rsidRPr="00B001C4">
        <w:rPr>
          <w:rStyle w:val="FootnoteReference"/>
          <w:rFonts w:ascii="Palatino Linotype" w:hAnsi="Palatino Linotype"/>
          <w:lang w:val="en-GB"/>
        </w:rPr>
        <w:footnoteRef/>
      </w:r>
      <w:r w:rsidRPr="00B001C4">
        <w:rPr>
          <w:rFonts w:ascii="Palatino Linotype" w:hAnsi="Palatino Linotype"/>
          <w:lang w:val="en-GB"/>
        </w:rPr>
        <w:t xml:space="preserve"> Adna Abu-Ghazaleh</w:t>
      </w:r>
      <w:r>
        <w:rPr>
          <w:rFonts w:ascii="Palatino Linotype" w:hAnsi="Palatino Linotype"/>
          <w:lang w:val="en-GB"/>
        </w:rPr>
        <w:t>,</w:t>
      </w:r>
      <w:r w:rsidRPr="00B001C4">
        <w:rPr>
          <w:rFonts w:ascii="Palatino Linotype" w:hAnsi="Palatino Linotype"/>
          <w:lang w:val="en-GB"/>
        </w:rPr>
        <w:t xml:space="preserve"> </w:t>
      </w:r>
      <w:r w:rsidRPr="00B001C4">
        <w:rPr>
          <w:rFonts w:ascii="Palatino Linotype" w:hAnsi="Palatino Linotype"/>
          <w:i/>
          <w:lang w:val="en-GB"/>
        </w:rPr>
        <w:t xml:space="preserve">American Missions in Syria: A Study of American Missionary Contributions to Arab Nationalism in 19th Century Syria </w:t>
      </w:r>
      <w:r w:rsidRPr="00BC311E">
        <w:rPr>
          <w:rFonts w:ascii="Palatino Linotype" w:hAnsi="Palatino Linotype"/>
          <w:lang w:val="en-GB"/>
        </w:rPr>
        <w:t>(</w:t>
      </w:r>
      <w:r w:rsidRPr="00B001C4">
        <w:rPr>
          <w:rFonts w:ascii="Palatino Linotype" w:hAnsi="Palatino Linotype"/>
          <w:lang w:val="en-GB"/>
        </w:rPr>
        <w:t>Brattleboro, VT: Amana Books, 1990); Antonius</w:t>
      </w:r>
      <w:r>
        <w:rPr>
          <w:rFonts w:ascii="Palatino Linotype" w:hAnsi="Palatino Linotype"/>
          <w:lang w:val="en-GB"/>
        </w:rPr>
        <w:t>,</w:t>
      </w:r>
      <w:r w:rsidRPr="00B001C4">
        <w:rPr>
          <w:rFonts w:ascii="Palatino Linotype" w:hAnsi="Palatino Linotype"/>
          <w:lang w:val="en-GB"/>
        </w:rPr>
        <w:t xml:space="preserve"> </w:t>
      </w:r>
      <w:r w:rsidRPr="00B001C4">
        <w:rPr>
          <w:rFonts w:ascii="Palatino Linotype" w:hAnsi="Palatino Linotype"/>
          <w:i/>
          <w:lang w:val="en-GB"/>
        </w:rPr>
        <w:t>The Arab Awakening</w:t>
      </w:r>
      <w:r w:rsidRPr="00B4522D">
        <w:rPr>
          <w:rFonts w:ascii="Palatino Linotype" w:hAnsi="Palatino Linotype"/>
          <w:lang w:val="en-GB"/>
        </w:rPr>
        <w:t>;</w:t>
      </w:r>
      <w:r w:rsidRPr="00B001C4">
        <w:rPr>
          <w:rFonts w:ascii="Palatino Linotype" w:hAnsi="Palatino Linotype"/>
          <w:lang w:val="en-GB"/>
        </w:rPr>
        <w:t xml:space="preserve"> Habib Badr, ‘The Protestant Evangelical Community in the Middle East: Impact on Cultural and Societal Developments’, </w:t>
      </w:r>
      <w:r w:rsidRPr="00B001C4">
        <w:rPr>
          <w:rFonts w:ascii="Palatino Linotype" w:hAnsi="Palatino Linotype"/>
          <w:i/>
          <w:lang w:val="en-GB"/>
        </w:rPr>
        <w:t>International Review of Missions</w:t>
      </w:r>
      <w:r w:rsidRPr="00B001C4">
        <w:rPr>
          <w:rFonts w:ascii="Palatino Linotype" w:hAnsi="Palatino Linotype"/>
          <w:lang w:val="en-GB"/>
        </w:rPr>
        <w:t xml:space="preserve"> 79: 352 (2000): 60-69; </w:t>
      </w:r>
      <w:r w:rsidRPr="003D532D">
        <w:rPr>
          <w:rFonts w:ascii="Palatino Linotype" w:hAnsi="Palatino Linotype"/>
          <w:lang w:val="en-GB"/>
        </w:rPr>
        <w:t xml:space="preserve">Rao Humphreys Lindsay, </w:t>
      </w:r>
      <w:r w:rsidRPr="003D532D">
        <w:rPr>
          <w:rFonts w:ascii="Palatino Linotype" w:hAnsi="Palatino Linotype"/>
          <w:i/>
          <w:iCs/>
          <w:lang w:val="en-GB"/>
        </w:rPr>
        <w:t>Nineteenth Century American Schools in the Levant: A Study of Purposes</w:t>
      </w:r>
      <w:r w:rsidRPr="003D532D">
        <w:rPr>
          <w:rFonts w:ascii="Palatino Linotype" w:hAnsi="Palatino Linotype"/>
          <w:iCs/>
          <w:lang w:val="en-GB"/>
        </w:rPr>
        <w:t xml:space="preserve"> (</w:t>
      </w:r>
      <w:r w:rsidRPr="003D532D">
        <w:rPr>
          <w:rFonts w:ascii="Palatino Linotype" w:hAnsi="Palatino Linotype"/>
          <w:lang w:val="en-GB"/>
        </w:rPr>
        <w:t>Ann Arbor: University of Mich</w:t>
      </w:r>
      <w:r>
        <w:rPr>
          <w:rFonts w:ascii="Palatino Linotype" w:hAnsi="Palatino Linotype"/>
          <w:lang w:val="en-GB"/>
        </w:rPr>
        <w:t>igan School of Education, 1965)</w:t>
      </w:r>
      <w:r w:rsidRPr="00B001C4">
        <w:rPr>
          <w:rFonts w:ascii="Palatino Linotype" w:hAnsi="Palatino Linotype"/>
          <w:lang w:val="en-GB"/>
        </w:rPr>
        <w:t xml:space="preserve">; Makdisi, ‘Reclaiming the Land of the Bible’: 680-713; </w:t>
      </w:r>
      <w:r>
        <w:rPr>
          <w:rFonts w:ascii="Palatino Linotype" w:hAnsi="Palatino Linotype"/>
          <w:lang w:val="en-GB"/>
        </w:rPr>
        <w:t>Murre-van den Berg,</w:t>
      </w:r>
      <w:r w:rsidRPr="00B001C4">
        <w:rPr>
          <w:rFonts w:ascii="Palatino Linotype" w:hAnsi="Palatino Linotype"/>
          <w:lang w:val="en-GB"/>
        </w:rPr>
        <w:t xml:space="preserve"> ‘Nineteenth-Century Protestant</w:t>
      </w:r>
      <w:r>
        <w:rPr>
          <w:rFonts w:ascii="Palatino Linotype" w:hAnsi="Palatino Linotype"/>
          <w:lang w:val="en-GB"/>
        </w:rPr>
        <w:t>’</w:t>
      </w:r>
      <w:r w:rsidRPr="00B001C4">
        <w:rPr>
          <w:rFonts w:ascii="Palatino Linotype" w:hAnsi="Palatino Linotype"/>
          <w:lang w:val="en-GB"/>
        </w:rPr>
        <w:t xml:space="preserve">: 103-126. </w:t>
      </w:r>
    </w:p>
  </w:footnote>
  <w:footnote w:id="11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Smith, ‘The Missionary Character’: 6.</w:t>
      </w:r>
    </w:p>
  </w:footnote>
  <w:footnote w:id="12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 </w:t>
      </w:r>
      <w:r w:rsidRPr="00C72FD6">
        <w:rPr>
          <w:rFonts w:ascii="Palatino Linotype" w:hAnsi="Palatino Linotype"/>
          <w:lang w:val="en-GB"/>
        </w:rPr>
        <w:t>414.</w:t>
      </w:r>
    </w:p>
  </w:footnote>
  <w:footnote w:id="12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MSM</w:t>
      </w:r>
      <w:r w:rsidRPr="00C72FD6">
        <w:rPr>
          <w:rFonts w:ascii="Palatino Linotype" w:hAnsi="Palatino Linotype"/>
          <w:lang w:val="en-GB"/>
        </w:rPr>
        <w:t>: 9-12.</w:t>
      </w:r>
    </w:p>
  </w:footnote>
  <w:footnote w:id="12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6; Samuel Wolcott, ‘Letter to Sir’ (Beirut: 31 October 1841): ABCFM microfilm Unit 5: Near East: Reel 539: 423-426; Wolcott, ‘Confidential: Letter to</w:t>
      </w:r>
      <w:r>
        <w:rPr>
          <w:rFonts w:ascii="Palatino Linotype" w:hAnsi="Palatino Linotype"/>
          <w:lang w:val="en-GB"/>
        </w:rPr>
        <w:t xml:space="preserve"> Sir’ (Beirut: 8 November 1841)</w:t>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(1835): 52-53.</w:t>
      </w:r>
    </w:p>
  </w:footnote>
  <w:footnote w:id="12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Compare with the tensions faced by French missionaries in promoting standardised French, but nevertheless accepting a hybridisation of the language in the colonies. </w:t>
      </w:r>
      <w:r w:rsidRPr="00C72FD6">
        <w:rPr>
          <w:rFonts w:ascii="Palatino Linotype" w:hAnsi="Palatino Linotype"/>
        </w:rPr>
        <w:t xml:space="preserve">Mathew Burrows, </w:t>
      </w:r>
      <w:r w:rsidRPr="00C72FD6">
        <w:rPr>
          <w:rFonts w:ascii="Palatino Linotype" w:hAnsi="Palatino Linotype"/>
          <w:bCs/>
        </w:rPr>
        <w:t xml:space="preserve">'Mission civilisatrice': French Cultural Policy in the Middle East, 1860-1914’, </w:t>
      </w:r>
      <w:r w:rsidRPr="00C72FD6">
        <w:rPr>
          <w:rFonts w:ascii="Palatino Linotype" w:hAnsi="Palatino Linotype"/>
          <w:i/>
          <w:iCs/>
        </w:rPr>
        <w:t>The Historical Journal</w:t>
      </w:r>
      <w:r w:rsidRPr="00C72FD6">
        <w:rPr>
          <w:rFonts w:ascii="Palatino Linotype" w:hAnsi="Palatino Linotype"/>
        </w:rPr>
        <w:t>, 29: 1 (1986):  128.</w:t>
      </w:r>
    </w:p>
  </w:footnote>
  <w:footnote w:id="12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Merze Tate, ‘The Sandwich Islands Missionaries Create a Literature’, </w:t>
      </w:r>
      <w:r w:rsidRPr="00C72FD6">
        <w:rPr>
          <w:rFonts w:ascii="Palatino Linotype" w:hAnsi="Palatino Linotype"/>
          <w:i/>
          <w:lang w:val="en-GB"/>
        </w:rPr>
        <w:t>Church History</w:t>
      </w:r>
      <w:r w:rsidRPr="00C72FD6">
        <w:rPr>
          <w:rFonts w:ascii="Palatino Linotype" w:hAnsi="Palatino Linotype"/>
          <w:lang w:val="en-GB"/>
        </w:rPr>
        <w:t xml:space="preserve">, 31:2 (1962), 188-190. Miller, </w:t>
      </w:r>
      <w:r w:rsidRPr="00C72FD6">
        <w:rPr>
          <w:rFonts w:ascii="Palatino Linotype" w:hAnsi="Palatino Linotype"/>
          <w:i/>
          <w:lang w:val="en-GB"/>
        </w:rPr>
        <w:t>Piety and Intellect</w:t>
      </w:r>
      <w:r w:rsidRPr="00C72FD6">
        <w:rPr>
          <w:rFonts w:ascii="Palatino Linotype" w:hAnsi="Palatino Linotype"/>
          <w:lang w:val="en-GB"/>
        </w:rPr>
        <w:t>: 13.</w:t>
      </w:r>
    </w:p>
  </w:footnote>
  <w:footnote w:id="12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 </w:t>
      </w:r>
      <w:r w:rsidRPr="00C72FD6">
        <w:rPr>
          <w:rFonts w:ascii="Palatino Linotype" w:hAnsi="Palatino Linotype"/>
          <w:lang w:val="en-GB"/>
        </w:rPr>
        <w:t>372.</w:t>
      </w:r>
    </w:p>
  </w:footnote>
  <w:footnote w:id="12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Anderson</w:t>
      </w:r>
      <w:r w:rsidRPr="00C72FD6">
        <w:rPr>
          <w:rFonts w:ascii="Palatino Linotype" w:hAnsi="Palatino Linotype"/>
          <w:i/>
          <w:lang w:val="en-GB"/>
        </w:rPr>
        <w:t>, HM</w:t>
      </w:r>
      <w:r w:rsidRPr="00C72FD6">
        <w:rPr>
          <w:rFonts w:ascii="Palatino Linotype" w:hAnsi="Palatino Linotype"/>
          <w:lang w:val="en-GB"/>
        </w:rPr>
        <w:t>: 514-516.</w:t>
      </w:r>
    </w:p>
  </w:footnote>
  <w:footnote w:id="12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This ‘Smith-Van Dyck’ or ‘Van Dyck’ version of the Bible continues to be a popular Arabic edition and is available online, accessible through various Arab Christian sites.</w:t>
      </w:r>
    </w:p>
  </w:footnote>
  <w:footnote w:id="12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Anderson</w:t>
      </w:r>
      <w:r w:rsidRPr="00C72FD6">
        <w:rPr>
          <w:rFonts w:ascii="Palatino Linotype" w:hAnsi="Palatino Linotype"/>
          <w:i/>
          <w:lang w:val="en-GB"/>
        </w:rPr>
        <w:t>, HM</w:t>
      </w:r>
      <w:r w:rsidRPr="00C72FD6">
        <w:rPr>
          <w:rFonts w:ascii="Palatino Linotype" w:hAnsi="Palatino Linotype"/>
          <w:lang w:val="en-GB"/>
        </w:rPr>
        <w:t xml:space="preserve">: 369; </w:t>
      </w:r>
      <w:r w:rsidRPr="00C72FD6">
        <w:rPr>
          <w:rFonts w:ascii="Palatino Linotype" w:hAnsi="Palatino Linotype"/>
          <w:i/>
          <w:lang w:val="en-GB"/>
        </w:rPr>
        <w:t>MSM</w:t>
      </w:r>
      <w:r w:rsidRPr="00C72FD6">
        <w:rPr>
          <w:rFonts w:ascii="Palatino Linotype" w:hAnsi="Palatino Linotype"/>
          <w:lang w:val="en-GB"/>
        </w:rPr>
        <w:t>: 33-35.</w:t>
      </w:r>
    </w:p>
  </w:footnote>
  <w:footnote w:id="12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MSM</w:t>
      </w:r>
      <w:r w:rsidRPr="00C72FD6">
        <w:rPr>
          <w:rFonts w:ascii="Palatino Linotype" w:hAnsi="Palatino Linotype"/>
          <w:lang w:val="en-GB"/>
        </w:rPr>
        <w:t>: 35.</w:t>
      </w:r>
    </w:p>
  </w:footnote>
  <w:footnote w:id="13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Roberts, ‘Locating Popular Religion’: 236-237.</w:t>
      </w:r>
    </w:p>
  </w:footnote>
  <w:footnote w:id="13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Arthur P. Davis, </w:t>
      </w:r>
      <w:r w:rsidRPr="00C72FD6">
        <w:rPr>
          <w:rFonts w:ascii="Palatino Linotype" w:hAnsi="Palatino Linotype"/>
          <w:i/>
          <w:lang w:val="en-GB"/>
        </w:rPr>
        <w:t xml:space="preserve">Isaac Watts: His Life and Works </w:t>
      </w:r>
      <w:r w:rsidRPr="00C72FD6">
        <w:rPr>
          <w:rFonts w:ascii="Palatino Linotype" w:hAnsi="Palatino Linotype"/>
          <w:lang w:val="en-GB"/>
        </w:rPr>
        <w:t>(London: Independent Press Ltd., 1948): 89.</w:t>
      </w:r>
    </w:p>
  </w:footnote>
  <w:footnote w:id="13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Beadle, ‘Journal of Tour to Aleppo’ (Syria: n.d.); </w:t>
      </w:r>
      <w:r w:rsidRPr="00390734">
        <w:rPr>
          <w:rFonts w:ascii="Palatino Linotype" w:hAnsi="Palatino Linotype"/>
          <w:i/>
        </w:rPr>
        <w:t>MSM</w:t>
      </w:r>
      <w:r w:rsidRPr="00C72FD6">
        <w:rPr>
          <w:rFonts w:ascii="Palatino Linotype" w:hAnsi="Palatino Linotype"/>
          <w:lang w:val="en-GB"/>
        </w:rPr>
        <w:t>: 28-30; Wortabet,</w:t>
      </w:r>
      <w:r w:rsidRPr="00C72FD6">
        <w:rPr>
          <w:rFonts w:ascii="Palatino Linotype" w:hAnsi="Palatino Linotype"/>
          <w:i/>
          <w:lang w:val="en-GB"/>
        </w:rPr>
        <w:t xml:space="preserve"> RRS: </w:t>
      </w:r>
      <w:r w:rsidRPr="00C72FD6">
        <w:rPr>
          <w:rFonts w:ascii="Palatino Linotype" w:hAnsi="Palatino Linotype"/>
          <w:lang w:val="en-GB"/>
        </w:rPr>
        <w:t xml:space="preserve">389-90. Some of these works, including the ‘Dairyman’s Daughter’ were also printed by the ABCFM Mission Press into </w:t>
      </w:r>
      <w:r>
        <w:rPr>
          <w:rFonts w:ascii="Palatino Linotype" w:hAnsi="Palatino Linotype"/>
          <w:lang w:val="en-GB"/>
        </w:rPr>
        <w:t>‘</w:t>
      </w:r>
      <w:r w:rsidRPr="00C72FD6">
        <w:rPr>
          <w:rFonts w:ascii="Palatino Linotype" w:hAnsi="Palatino Linotype"/>
          <w:lang w:val="en-GB"/>
        </w:rPr>
        <w:t>Armeno-Turkish</w:t>
      </w:r>
      <w:r>
        <w:rPr>
          <w:rFonts w:ascii="Palatino Linotype" w:hAnsi="Palatino Linotype"/>
          <w:lang w:val="en-GB"/>
        </w:rPr>
        <w:t>’</w:t>
      </w:r>
      <w:r w:rsidRPr="00C72FD6">
        <w:rPr>
          <w:rFonts w:ascii="Palatino Linotype" w:hAnsi="Palatino Linotype"/>
          <w:lang w:val="en-GB"/>
        </w:rPr>
        <w:t>. Roberts, ‘Locating Popular Religion’: 258.</w:t>
      </w:r>
    </w:p>
  </w:footnote>
  <w:footnote w:id="13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Sada Barakat in Jessup: </w:t>
      </w:r>
      <w:r w:rsidRPr="00C72FD6">
        <w:rPr>
          <w:rFonts w:ascii="Palatino Linotype" w:hAnsi="Palatino Linotype"/>
          <w:i/>
          <w:lang w:val="en-GB"/>
        </w:rPr>
        <w:t>WA</w:t>
      </w:r>
      <w:r w:rsidRPr="00C72FD6">
        <w:rPr>
          <w:rFonts w:ascii="Palatino Linotype" w:hAnsi="Palatino Linotype"/>
          <w:lang w:val="en-GB"/>
        </w:rPr>
        <w:t>: 85; Wortabet,</w:t>
      </w:r>
      <w:r w:rsidRPr="00C72FD6">
        <w:rPr>
          <w:rFonts w:ascii="Palatino Linotype" w:hAnsi="Palatino Linotype"/>
          <w:i/>
          <w:lang w:val="en-GB"/>
        </w:rPr>
        <w:t xml:space="preserve"> RRS: </w:t>
      </w:r>
      <w:r w:rsidRPr="00C72FD6">
        <w:rPr>
          <w:rFonts w:ascii="Palatino Linotype" w:hAnsi="Palatino Linotype"/>
          <w:lang w:val="en-GB"/>
        </w:rPr>
        <w:t>389-390; William M. Thomson and Story Hebard, ‘Report of the Female School for 1838’ (n.s., 1838): ABCFM microfilm Unit 5: Near East: Reel 538: 121B-123B.</w:t>
      </w:r>
    </w:p>
  </w:footnote>
  <w:footnote w:id="13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Melita Carabet quoted in Jessup, </w:t>
      </w:r>
      <w:r w:rsidRPr="00C72FD6">
        <w:rPr>
          <w:rFonts w:ascii="Palatino Linotype" w:hAnsi="Palatino Linotype"/>
          <w:i/>
          <w:lang w:val="en-GB"/>
        </w:rPr>
        <w:t>WA</w:t>
      </w:r>
      <w:r w:rsidRPr="00C72FD6">
        <w:rPr>
          <w:rFonts w:ascii="Palatino Linotype" w:hAnsi="Palatino Linotype"/>
          <w:lang w:val="en-GB"/>
        </w:rPr>
        <w:t>: 66.</w:t>
      </w:r>
    </w:p>
  </w:footnote>
  <w:footnote w:id="13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Whiting and Thomson, ‘On the Results </w:t>
      </w:r>
      <w:r>
        <w:rPr>
          <w:rFonts w:ascii="Palatino Linotype" w:hAnsi="Palatino Linotype"/>
          <w:lang w:val="en-GB"/>
        </w:rPr>
        <w:t>of Past Labours in the Mission’</w:t>
      </w:r>
      <w:r w:rsidRPr="00C72FD6">
        <w:rPr>
          <w:rFonts w:ascii="Palatino Linotype" w:hAnsi="Palatino Linotype"/>
          <w:lang w:val="en-GB"/>
        </w:rPr>
        <w:t>; Roberts, ‘Locating Popular’: 234.</w:t>
      </w:r>
    </w:p>
  </w:footnote>
  <w:footnote w:id="13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Isaac Bird and George Whiting, ‘Letter to Jeremiah Evert’ (Beirut, January 1831): ABCFM microfilm Unit 5: Near East: Reel 537.</w:t>
      </w:r>
    </w:p>
  </w:footnote>
  <w:footnote w:id="13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180.</w:t>
      </w:r>
    </w:p>
  </w:footnote>
  <w:footnote w:id="138">
    <w:p w:rsidR="007F7DD4" w:rsidRPr="00466051" w:rsidRDefault="007F7DD4" w:rsidP="001761FF">
      <w:pPr>
        <w:pStyle w:val="FootnoteText"/>
        <w:ind w:left="90" w:hanging="90"/>
        <w:jc w:val="both"/>
        <w:rPr>
          <w:rFonts w:ascii="Palatino Linotype" w:hAnsi="Palatino Linotype"/>
          <w:lang w:val="en-GB"/>
        </w:rPr>
      </w:pPr>
      <w:r w:rsidRPr="00466051">
        <w:rPr>
          <w:rStyle w:val="FootnoteReference"/>
          <w:rFonts w:ascii="Palatino Linotype" w:hAnsi="Palatino Linotype"/>
        </w:rPr>
        <w:footnoteRef/>
      </w:r>
      <w:r w:rsidRPr="00466051">
        <w:rPr>
          <w:rFonts w:ascii="Palatino Linotype" w:hAnsi="Palatino Linotype"/>
        </w:rPr>
        <w:t xml:space="preserve"> The history of the Protestants’ relationship with science, including the tensions surrounding religious and secular opinions, is presented in Elshakry, ‘The Gospel of Science’: 173-214.</w:t>
      </w:r>
      <w:r w:rsidRPr="00466051">
        <w:rPr>
          <w:rFonts w:ascii="Palatino Linotype" w:hAnsi="Palatino Linotype"/>
          <w:lang w:val="en-GB"/>
        </w:rPr>
        <w:t xml:space="preserve"> </w:t>
      </w:r>
    </w:p>
  </w:footnote>
  <w:footnote w:id="139">
    <w:p w:rsidR="007F7DD4" w:rsidRPr="00466051" w:rsidRDefault="007F7DD4" w:rsidP="001761FF">
      <w:pPr>
        <w:pStyle w:val="FootnoteText"/>
        <w:ind w:left="90" w:hanging="90"/>
        <w:jc w:val="both"/>
        <w:rPr>
          <w:rFonts w:ascii="Palatino Linotype" w:hAnsi="Palatino Linotype"/>
          <w:lang w:val="en-GB"/>
        </w:rPr>
      </w:pPr>
      <w:r w:rsidRPr="00466051">
        <w:rPr>
          <w:rStyle w:val="FootnoteReference"/>
          <w:rFonts w:ascii="Palatino Linotype" w:hAnsi="Palatino Linotype"/>
          <w:lang w:val="en-GB"/>
        </w:rPr>
        <w:footnoteRef/>
      </w:r>
      <w:r w:rsidRPr="00466051">
        <w:rPr>
          <w:rFonts w:ascii="Palatino Linotype" w:hAnsi="Palatino Linotype"/>
          <w:lang w:val="en-GB"/>
        </w:rPr>
        <w:t xml:space="preserve"> A proposed educational schedule for the future missionary Hetty Butler (later Smith), included the study of the Bible, Botany, Arithmetic, Composition, Algebra and Latin. n.s., ‘To Miss Butler’ (n.s., n.d.): YDS: ES Box 3: Folder 9.</w:t>
      </w:r>
    </w:p>
  </w:footnote>
  <w:footnote w:id="140">
    <w:p w:rsidR="007F7DD4" w:rsidRPr="00466051" w:rsidRDefault="007F7DD4" w:rsidP="001761FF">
      <w:pPr>
        <w:pStyle w:val="FootnoteText"/>
        <w:ind w:left="90" w:hanging="90"/>
        <w:jc w:val="both"/>
        <w:rPr>
          <w:rFonts w:ascii="Palatino Linotype" w:hAnsi="Palatino Linotype"/>
          <w:lang w:val="en-GB"/>
        </w:rPr>
      </w:pPr>
      <w:r w:rsidRPr="00466051">
        <w:rPr>
          <w:rStyle w:val="FootnoteReference"/>
          <w:rFonts w:ascii="Palatino Linotype" w:hAnsi="Palatino Linotype"/>
          <w:lang w:val="en-GB"/>
        </w:rPr>
        <w:footnoteRef/>
      </w:r>
      <w:r w:rsidRPr="00466051">
        <w:rPr>
          <w:rFonts w:ascii="Palatino Linotype" w:hAnsi="Palatino Linotype"/>
          <w:lang w:val="en-GB"/>
        </w:rPr>
        <w:t xml:space="preserve"> Miller, </w:t>
      </w:r>
      <w:r w:rsidRPr="00466051">
        <w:rPr>
          <w:rFonts w:ascii="Palatino Linotype" w:hAnsi="Palatino Linotype"/>
          <w:i/>
          <w:lang w:val="en-GB"/>
        </w:rPr>
        <w:t>Piety and Intellect</w:t>
      </w:r>
      <w:r w:rsidRPr="00466051">
        <w:rPr>
          <w:rFonts w:ascii="Palatino Linotype" w:hAnsi="Palatino Linotype"/>
          <w:lang w:val="en-GB"/>
        </w:rPr>
        <w:t xml:space="preserve">: 89-93; Isaac Watts, </w:t>
      </w:r>
      <w:r w:rsidRPr="00466051">
        <w:rPr>
          <w:rFonts w:ascii="Palatino Linotype" w:hAnsi="Palatino Linotype"/>
          <w:i/>
          <w:lang w:val="en-GB"/>
        </w:rPr>
        <w:t>Logick: or, the Right Use of Reason in the Enquiry after Truth with a variety of Rules to guard against Error, in the affairs of Religion and Human life, as well as in the sciences (</w:t>
      </w:r>
      <w:r w:rsidRPr="00466051">
        <w:rPr>
          <w:rFonts w:ascii="Palatino Linotype" w:hAnsi="Palatino Linotype"/>
          <w:lang w:val="en-GB"/>
        </w:rPr>
        <w:t>Twentieth Edition) (Glasgow: William Smith, 1759).</w:t>
      </w:r>
    </w:p>
  </w:footnote>
  <w:footnote w:id="141">
    <w:p w:rsidR="007F7DD4" w:rsidRPr="00466051" w:rsidRDefault="007F7DD4" w:rsidP="001761FF">
      <w:pPr>
        <w:pStyle w:val="FootnoteText"/>
        <w:ind w:left="90" w:hanging="90"/>
        <w:jc w:val="both"/>
        <w:rPr>
          <w:rFonts w:ascii="Palatino Linotype" w:hAnsi="Palatino Linotype"/>
        </w:rPr>
      </w:pPr>
      <w:r w:rsidRPr="00466051">
        <w:rPr>
          <w:rStyle w:val="FootnoteReference"/>
          <w:rFonts w:ascii="Palatino Linotype" w:hAnsi="Palatino Linotype"/>
        </w:rPr>
        <w:footnoteRef/>
      </w:r>
      <w:r w:rsidRPr="00466051">
        <w:rPr>
          <w:rFonts w:ascii="Palatino Linotype" w:hAnsi="Palatino Linotype"/>
        </w:rPr>
        <w:t xml:space="preserve"> See Appendix I:C for a list of these doctors.</w:t>
      </w:r>
    </w:p>
  </w:footnote>
  <w:footnote w:id="142">
    <w:p w:rsidR="007F7DD4" w:rsidRPr="00C72FD6" w:rsidRDefault="007F7DD4" w:rsidP="001761FF">
      <w:pPr>
        <w:pStyle w:val="FootnoteText"/>
        <w:ind w:left="90" w:hanging="90"/>
        <w:jc w:val="both"/>
        <w:rPr>
          <w:rFonts w:ascii="Palatino Linotype" w:hAnsi="Palatino Linotype"/>
          <w:lang w:val="en-GB"/>
        </w:rPr>
      </w:pPr>
      <w:r w:rsidRPr="00466051">
        <w:rPr>
          <w:rStyle w:val="FootnoteReference"/>
          <w:rFonts w:ascii="Palatino Linotype" w:hAnsi="Palatino Linotype"/>
          <w:lang w:val="en-GB"/>
        </w:rPr>
        <w:footnoteRef/>
      </w:r>
      <w:r w:rsidRPr="00466051">
        <w:rPr>
          <w:rFonts w:ascii="Palatino Linotype" w:hAnsi="Palatino Linotype"/>
          <w:lang w:val="en-GB"/>
        </w:rPr>
        <w:t xml:space="preserve"> DeForest, ‘Journal’ (n.s., 1842): 550B-562.</w:t>
      </w:r>
    </w:p>
  </w:footnote>
  <w:footnote w:id="14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This degree was earned after the publication of an article on the fevers in Syria, which was published in the </w:t>
      </w:r>
      <w:r w:rsidRPr="00C72FD6">
        <w:rPr>
          <w:rFonts w:ascii="Palatino Linotype" w:hAnsi="Palatino Linotype"/>
          <w:i/>
          <w:lang w:val="en-GB"/>
        </w:rPr>
        <w:t>American Journal of Medical Science.</w:t>
      </w:r>
      <w:r w:rsidRPr="00C72FD6">
        <w:rPr>
          <w:rFonts w:ascii="Palatino Linotype" w:hAnsi="Palatino Linotype"/>
          <w:lang w:val="en-GB"/>
        </w:rPr>
        <w:t xml:space="preserve"> </w:t>
      </w:r>
      <w:r w:rsidRPr="00C72FD6">
        <w:rPr>
          <w:rFonts w:ascii="Palatino Linotype" w:hAnsi="Palatino Linotype"/>
          <w:i/>
          <w:lang w:val="en-GB"/>
        </w:rPr>
        <w:t>MSM</w:t>
      </w:r>
      <w:r w:rsidRPr="00C72FD6">
        <w:rPr>
          <w:rFonts w:ascii="Palatino Linotype" w:hAnsi="Palatino Linotype"/>
          <w:lang w:val="en-GB"/>
        </w:rPr>
        <w:t>: 29; Anderson,</w:t>
      </w:r>
      <w:r w:rsidRPr="00C72FD6">
        <w:rPr>
          <w:rFonts w:ascii="Palatino Linotype" w:hAnsi="Palatino Linotype"/>
          <w:i/>
          <w:lang w:val="en-GB"/>
        </w:rPr>
        <w:t xml:space="preserve"> HM</w:t>
      </w:r>
      <w:r w:rsidRPr="00C72FD6">
        <w:rPr>
          <w:rFonts w:ascii="Palatino Linotype" w:hAnsi="Palatino Linotype"/>
          <w:lang w:val="en-GB"/>
        </w:rPr>
        <w:t xml:space="preserve">: 377. </w:t>
      </w:r>
    </w:p>
  </w:footnote>
  <w:footnote w:id="14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Churchill, </w:t>
      </w:r>
      <w:r w:rsidRPr="00C72FD6">
        <w:rPr>
          <w:rFonts w:ascii="Palatino Linotype" w:hAnsi="Palatino Linotype"/>
          <w:i/>
          <w:lang w:val="en-GB"/>
        </w:rPr>
        <w:t>Mount Lebanon</w:t>
      </w:r>
      <w:r w:rsidRPr="00C72FD6">
        <w:rPr>
          <w:rFonts w:ascii="Palatino Linotype" w:hAnsi="Palatino Linotype"/>
          <w:lang w:val="en-GB"/>
        </w:rPr>
        <w:t xml:space="preserve">: 121; Jessup, </w:t>
      </w:r>
      <w:r w:rsidRPr="00C72FD6">
        <w:rPr>
          <w:rFonts w:ascii="Palatino Linotype" w:hAnsi="Palatino Linotype"/>
          <w:i/>
          <w:lang w:val="en-GB"/>
        </w:rPr>
        <w:t>WA</w:t>
      </w:r>
      <w:r w:rsidRPr="00C72FD6">
        <w:rPr>
          <w:rFonts w:ascii="Palatino Linotype" w:hAnsi="Palatino Linotype"/>
          <w:lang w:val="en-GB"/>
        </w:rPr>
        <w:t xml:space="preserve">: 206-207; Henry A. DeForest, ‘Letter to C.W.M. van de Velde’ (Abeih, 7 March 1854), in: C. van de Velde, </w:t>
      </w:r>
      <w:r w:rsidRPr="00C72FD6">
        <w:rPr>
          <w:rFonts w:ascii="Palatino Linotype" w:hAnsi="Palatino Linotype"/>
          <w:i/>
          <w:lang w:val="en-GB"/>
        </w:rPr>
        <w:t>Narrative of a Journey Through Syria and Palestine in 1851 and 1852</w:t>
      </w:r>
      <w:r w:rsidRPr="00C72FD6">
        <w:rPr>
          <w:rFonts w:ascii="Palatino Linotype" w:hAnsi="Palatino Linotype"/>
          <w:lang w:val="en-GB"/>
        </w:rPr>
        <w:t xml:space="preserve"> (Edinburgh and London: W. Blackwood and Sons, 1854): 493.</w:t>
      </w:r>
    </w:p>
  </w:footnote>
  <w:footnote w:id="14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Murre-van den Berg</w:t>
      </w:r>
      <w:r w:rsidRPr="00C72FD6">
        <w:rPr>
          <w:rFonts w:ascii="Palatino Linotype" w:hAnsi="Palatino Linotype"/>
          <w:lang w:val="en-GB"/>
        </w:rPr>
        <w:t>, ‘Simply by Giving to Them Macaroni’: 63-80.</w:t>
      </w:r>
    </w:p>
  </w:footnote>
  <w:footnote w:id="14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Sheehi, ‘Inscribing the Arab Self’: 10.</w:t>
      </w:r>
    </w:p>
  </w:footnote>
  <w:footnote w:id="14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Ekmeleddin Ihsanoglu, ‘Ottoman Educational Institutions during the Reform Period’ (Manchester: Manchester: Foundation for Science Technology and Civilisation, 2004): 6-8, [online], Available at: &lt;http://www.muslimheritage.com/uploads/ReformOttomans.pdf&gt; (access on: 2 February 2008).</w:t>
      </w:r>
    </w:p>
  </w:footnote>
  <w:footnote w:id="14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Part of the missionaries’ criticism centred upon translation. Van Dyck argued that new Arab</w:t>
      </w:r>
      <w:r>
        <w:rPr>
          <w:rFonts w:ascii="Palatino Linotype" w:hAnsi="Palatino Linotype"/>
          <w:lang w:val="en-GB"/>
        </w:rPr>
        <w:t>ic</w:t>
      </w:r>
      <w:r w:rsidRPr="00C72FD6">
        <w:rPr>
          <w:rFonts w:ascii="Palatino Linotype" w:hAnsi="Palatino Linotype"/>
          <w:lang w:val="en-GB"/>
        </w:rPr>
        <w:t xml:space="preserve"> terms were created instead of researching existing terms already in use</w:t>
      </w:r>
      <w:r>
        <w:rPr>
          <w:rFonts w:ascii="Palatino Linotype" w:hAnsi="Palatino Linotype"/>
          <w:lang w:val="en-GB"/>
        </w:rPr>
        <w:t>,</w:t>
      </w:r>
      <w:r w:rsidRPr="00C72FD6">
        <w:rPr>
          <w:rFonts w:ascii="Palatino Linotype" w:hAnsi="Palatino Linotype"/>
          <w:lang w:val="en-GB"/>
        </w:rPr>
        <w:t xml:space="preserve"> resulting in a problematic hybrid </w:t>
      </w:r>
      <w:r>
        <w:rPr>
          <w:rFonts w:ascii="Palatino Linotype" w:hAnsi="Palatino Linotype"/>
          <w:lang w:val="en-GB"/>
        </w:rPr>
        <w:t xml:space="preserve">medical </w:t>
      </w:r>
      <w:r w:rsidRPr="00C72FD6">
        <w:rPr>
          <w:rFonts w:ascii="Palatino Linotype" w:hAnsi="Palatino Linotype"/>
          <w:lang w:val="en-GB"/>
        </w:rPr>
        <w:t xml:space="preserve">language. </w:t>
      </w:r>
      <w:r w:rsidRPr="00390734">
        <w:rPr>
          <w:rFonts w:ascii="Palatino Linotype" w:hAnsi="Palatino Linotype"/>
        </w:rPr>
        <w:t>Cornelius V.A. Van Dyck, ‘On the Present Condition of th</w:t>
      </w:r>
      <w:r>
        <w:rPr>
          <w:rFonts w:ascii="Palatino Linotype" w:hAnsi="Palatino Linotype"/>
        </w:rPr>
        <w:t xml:space="preserve">e Medical Profession in Syria’, </w:t>
      </w:r>
      <w:r w:rsidRPr="00390734">
        <w:rPr>
          <w:rFonts w:ascii="Palatino Linotype" w:hAnsi="Palatino Linotype"/>
          <w:i/>
        </w:rPr>
        <w:t>Journal of the American Oriental Society</w:t>
      </w:r>
      <w:r w:rsidRPr="00390734">
        <w:rPr>
          <w:rFonts w:ascii="Palatino Linotype" w:hAnsi="Palatino Linotype"/>
        </w:rPr>
        <w:t>, 1</w:t>
      </w:r>
      <w:r>
        <w:rPr>
          <w:rFonts w:ascii="Palatino Linotype" w:hAnsi="Palatino Linotype"/>
        </w:rPr>
        <w:t>:</w:t>
      </w:r>
      <w:r w:rsidRPr="00390734">
        <w:rPr>
          <w:rFonts w:ascii="Palatino Linotype" w:hAnsi="Palatino Linotype"/>
        </w:rPr>
        <w:t>4</w:t>
      </w:r>
      <w:r>
        <w:rPr>
          <w:rFonts w:ascii="Palatino Linotype" w:hAnsi="Palatino Linotype"/>
        </w:rPr>
        <w:t xml:space="preserve"> (1849</w:t>
      </w:r>
      <w:r w:rsidRPr="00390734">
        <w:rPr>
          <w:rFonts w:ascii="Palatino Linotype" w:hAnsi="Palatino Linotype"/>
        </w:rPr>
        <w:t xml:space="preserve">): </w:t>
      </w:r>
      <w:r w:rsidRPr="00C72FD6">
        <w:rPr>
          <w:rFonts w:ascii="Palatino Linotype" w:hAnsi="Palatino Linotype"/>
          <w:lang w:val="en-GB"/>
        </w:rPr>
        <w:t>570.</w:t>
      </w:r>
    </w:p>
  </w:footnote>
  <w:footnote w:id="149">
    <w:p w:rsidR="007F7DD4" w:rsidRPr="00AA4ECD"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E47BF9">
        <w:rPr>
          <w:rFonts w:ascii="Palatino Linotype" w:hAnsi="Palatino Linotype"/>
          <w:lang w:val="en-GB"/>
        </w:rPr>
        <w:t>During the late 1830s, Mishaqa was appointed as the Chief Physician of Damascus, although the nature of his work in this city is unclear.</w:t>
      </w:r>
      <w:r w:rsidRPr="00AA4ECD">
        <w:rPr>
          <w:rFonts w:ascii="Palatino Linotype" w:hAnsi="Palatino Linotype"/>
          <w:lang w:val="en-GB"/>
        </w:rPr>
        <w:t xml:space="preserve"> Mishaqa, </w:t>
      </w:r>
      <w:r w:rsidRPr="00AA4ECD">
        <w:rPr>
          <w:rFonts w:ascii="Palatino Linotype" w:hAnsi="Palatino Linotype"/>
          <w:i/>
          <w:lang w:val="en-GB"/>
        </w:rPr>
        <w:t>Murd</w:t>
      </w:r>
      <w:r>
        <w:rPr>
          <w:rFonts w:ascii="Palatino Linotype" w:hAnsi="Palatino Linotype"/>
          <w:i/>
          <w:lang w:val="en-GB"/>
        </w:rPr>
        <w:t>er, Mayhem, Pillage and Plunder</w:t>
      </w:r>
      <w:r>
        <w:rPr>
          <w:rFonts w:ascii="Palatino Linotype" w:hAnsi="Palatino Linotype"/>
          <w:lang w:val="en-GB"/>
        </w:rPr>
        <w:t>: 158, 193.</w:t>
      </w:r>
    </w:p>
  </w:footnote>
  <w:footnote w:id="15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Van Dyck, ‘On the Present Condition’: 571-591</w:t>
      </w:r>
      <w:r>
        <w:rPr>
          <w:rFonts w:ascii="Palatino Linotype" w:hAnsi="Palatino Linotype"/>
          <w:lang w:val="en-GB"/>
        </w:rPr>
        <w:t xml:space="preserve">. In contrast, Chasseud retold a story when the wife of the French consul rejected the advice of European doctors for the treatment given by a Syrian doctor. </w:t>
      </w:r>
      <w:r w:rsidRPr="000A0273">
        <w:rPr>
          <w:rFonts w:ascii="Palatino Linotype" w:hAnsi="Palatino Linotype"/>
          <w:lang w:val="en-GB"/>
        </w:rPr>
        <w:t xml:space="preserve">George Washington Chasseaud, </w:t>
      </w:r>
      <w:r w:rsidRPr="000A0273">
        <w:rPr>
          <w:rFonts w:ascii="Palatino Linotype" w:hAnsi="Palatino Linotype"/>
          <w:i/>
          <w:lang w:val="en-GB"/>
        </w:rPr>
        <w:t>The Druses of the Lebanon</w:t>
      </w:r>
      <w:r w:rsidRPr="000A0273">
        <w:rPr>
          <w:rFonts w:ascii="Palatino Linotype" w:hAnsi="Palatino Linotype"/>
          <w:lang w:val="en-GB"/>
        </w:rPr>
        <w:t xml:space="preserve">: </w:t>
      </w:r>
      <w:r w:rsidRPr="000A0273">
        <w:rPr>
          <w:rFonts w:ascii="Palatino Linotype" w:hAnsi="Palatino Linotype"/>
          <w:i/>
          <w:lang w:val="en-GB"/>
        </w:rPr>
        <w:t>Their Manners, Customs, and History. With a Translation of their Religious Code</w:t>
      </w:r>
      <w:r>
        <w:rPr>
          <w:rFonts w:ascii="Palatino Linotype" w:hAnsi="Palatino Linotype"/>
          <w:lang w:val="en-GB"/>
        </w:rPr>
        <w:t>, (London: Richard Bentley, 1855):  381.</w:t>
      </w:r>
    </w:p>
  </w:footnote>
  <w:footnote w:id="151">
    <w:p w:rsidR="007F7DD4" w:rsidRPr="00EF6465"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EF6465">
        <w:rPr>
          <w:rFonts w:ascii="Palatino Linotype" w:hAnsi="Palatino Linotype"/>
          <w:lang w:val="en-GB"/>
        </w:rPr>
        <w:t xml:space="preserve">Effendi, </w:t>
      </w:r>
      <w:r w:rsidRPr="00EF6465">
        <w:rPr>
          <w:rFonts w:ascii="Palatino Linotype" w:hAnsi="Palatino Linotype"/>
          <w:i/>
          <w:lang w:val="en-GB"/>
        </w:rPr>
        <w:t>The Thistle and the Cedar</w:t>
      </w:r>
      <w:r w:rsidRPr="00EF6465">
        <w:rPr>
          <w:rFonts w:ascii="Palatino Linotype" w:hAnsi="Palatino Linotype"/>
          <w:lang w:val="en-GB"/>
        </w:rPr>
        <w:t xml:space="preserve">: 377-378; Wortabet, </w:t>
      </w:r>
      <w:r w:rsidRPr="00EF6465">
        <w:rPr>
          <w:rFonts w:ascii="Palatino Linotype" w:hAnsi="Palatino Linotype"/>
          <w:i/>
          <w:lang w:val="en-GB"/>
        </w:rPr>
        <w:t>SS: I</w:t>
      </w:r>
      <w:r w:rsidRPr="00EF6465">
        <w:rPr>
          <w:rFonts w:ascii="Palatino Linotype" w:hAnsi="Palatino Linotype"/>
          <w:lang w:val="en-GB"/>
        </w:rPr>
        <w:t>: 323.</w:t>
      </w:r>
    </w:p>
  </w:footnote>
  <w:footnote w:id="152">
    <w:p w:rsidR="007F7DD4" w:rsidRPr="00EF6465" w:rsidRDefault="007F7DD4" w:rsidP="001761FF">
      <w:pPr>
        <w:pStyle w:val="FootnoteText"/>
        <w:ind w:left="90" w:hanging="90"/>
        <w:jc w:val="both"/>
        <w:rPr>
          <w:rFonts w:ascii="Palatino Linotype" w:hAnsi="Palatino Linotype"/>
          <w:lang w:val="en-GB"/>
        </w:rPr>
      </w:pPr>
      <w:r w:rsidRPr="00EF6465">
        <w:rPr>
          <w:rStyle w:val="FootnoteReference"/>
          <w:rFonts w:ascii="Palatino Linotype" w:hAnsi="Palatino Linotype"/>
          <w:lang w:val="en-GB"/>
        </w:rPr>
        <w:footnoteRef/>
      </w:r>
      <w:r w:rsidRPr="00EF6465">
        <w:rPr>
          <w:rFonts w:ascii="Palatino Linotype" w:hAnsi="Palatino Linotype"/>
          <w:lang w:val="en-GB"/>
        </w:rPr>
        <w:t xml:space="preserve"> Noticeably, it was during the nineteenth century that laws requiring medical certification were being passed throughout the United States.</w:t>
      </w:r>
      <w:r w:rsidRPr="00EF6465">
        <w:rPr>
          <w:rFonts w:ascii="Palatino Linotype" w:hAnsi="Palatino Linotype"/>
          <w:color w:val="auto"/>
          <w:lang w:val="en-GB"/>
        </w:rPr>
        <w:t xml:space="preserve"> Barbara </w:t>
      </w:r>
      <w:r w:rsidRPr="00EF6465">
        <w:rPr>
          <w:rFonts w:ascii="Palatino Linotype" w:hAnsi="Palatino Linotype"/>
          <w:lang w:val="en-GB"/>
        </w:rPr>
        <w:t xml:space="preserve">Ehrenreich, and Deirdre English, </w:t>
      </w:r>
      <w:r w:rsidRPr="00EF6465">
        <w:rPr>
          <w:rFonts w:ascii="Palatino Linotype" w:hAnsi="Palatino Linotype"/>
          <w:i/>
          <w:lang w:val="en-GB"/>
        </w:rPr>
        <w:t>Witches, Midwives and Nurses: A History of Women Healers</w:t>
      </w:r>
      <w:r w:rsidRPr="00EF6465">
        <w:rPr>
          <w:rFonts w:ascii="Palatino Linotype" w:hAnsi="Palatino Linotype"/>
          <w:lang w:val="en-GB"/>
        </w:rPr>
        <w:t xml:space="preserve"> (London: Writers and Readers Publishing Cooperative, 1973): 40-50.</w:t>
      </w:r>
    </w:p>
  </w:footnote>
  <w:footnote w:id="153">
    <w:p w:rsidR="007F7DD4" w:rsidRPr="00C72FD6" w:rsidRDefault="007F7DD4" w:rsidP="001761FF">
      <w:pPr>
        <w:pStyle w:val="FootnoteText"/>
        <w:ind w:left="90" w:hanging="90"/>
        <w:jc w:val="both"/>
        <w:rPr>
          <w:rFonts w:ascii="Palatino Linotype" w:hAnsi="Palatino Linotype"/>
          <w:lang w:val="en-GB"/>
        </w:rPr>
      </w:pPr>
      <w:r w:rsidRPr="00EF6465">
        <w:rPr>
          <w:rStyle w:val="FootnoteReference"/>
          <w:rFonts w:ascii="Palatino Linotype" w:hAnsi="Palatino Linotype"/>
          <w:lang w:val="en-GB"/>
        </w:rPr>
        <w:footnoteRef/>
      </w:r>
      <w:r w:rsidRPr="00EF6465">
        <w:rPr>
          <w:rFonts w:ascii="Palatino Linotype" w:hAnsi="Palatino Linotype"/>
          <w:lang w:val="en-GB"/>
        </w:rPr>
        <w:t xml:space="preserve"> Van Dyck, ‘On the Present Condition’: 570.</w:t>
      </w:r>
    </w:p>
  </w:footnote>
  <w:footnote w:id="154">
    <w:p w:rsidR="007F7DD4" w:rsidRPr="00CB61B1" w:rsidRDefault="007F7DD4" w:rsidP="001761FF">
      <w:pPr>
        <w:pStyle w:val="FootnoteText"/>
        <w:ind w:left="90" w:hanging="90"/>
        <w:jc w:val="both"/>
        <w:rPr>
          <w:rFonts w:ascii="Palatino Linotype" w:hAnsi="Palatino Linotype"/>
          <w:lang w:val="en-GB"/>
        </w:rPr>
      </w:pPr>
      <w:r w:rsidRPr="00CB61B1">
        <w:rPr>
          <w:rStyle w:val="FootnoteReference"/>
          <w:rFonts w:ascii="Palatino Linotype" w:hAnsi="Palatino Linotype"/>
          <w:lang w:val="en-GB"/>
        </w:rPr>
        <w:footnoteRef/>
      </w:r>
      <w:r w:rsidRPr="00CB61B1">
        <w:rPr>
          <w:rFonts w:ascii="Palatino Linotype" w:hAnsi="Palatino Linotype"/>
          <w:lang w:val="en-GB"/>
        </w:rPr>
        <w:t xml:space="preserve"> Van Dyck, ‘On the Present Condition’: 572.</w:t>
      </w:r>
    </w:p>
  </w:footnote>
  <w:footnote w:id="155">
    <w:p w:rsidR="007F7DD4" w:rsidRPr="00CB61B1" w:rsidRDefault="007F7DD4" w:rsidP="001761FF">
      <w:pPr>
        <w:pStyle w:val="FootnoteText"/>
        <w:ind w:left="90" w:hanging="90"/>
        <w:jc w:val="both"/>
        <w:rPr>
          <w:rFonts w:ascii="Palatino Linotype" w:hAnsi="Palatino Linotype"/>
          <w:lang w:val="en-GB"/>
        </w:rPr>
      </w:pPr>
      <w:r w:rsidRPr="00CB61B1">
        <w:rPr>
          <w:rStyle w:val="FootnoteReference"/>
          <w:rFonts w:ascii="Palatino Linotype" w:hAnsi="Palatino Linotype"/>
        </w:rPr>
        <w:footnoteRef/>
      </w:r>
      <w:r w:rsidRPr="00CB61B1">
        <w:rPr>
          <w:rFonts w:ascii="Palatino Linotype" w:hAnsi="Palatino Linotype"/>
        </w:rPr>
        <w:t xml:space="preserve"> Paton </w:t>
      </w:r>
      <w:r>
        <w:rPr>
          <w:rFonts w:ascii="Palatino Linotype" w:hAnsi="Palatino Linotype"/>
        </w:rPr>
        <w:t>wrote</w:t>
      </w:r>
      <w:r w:rsidRPr="00CB61B1">
        <w:rPr>
          <w:rFonts w:ascii="Palatino Linotype" w:hAnsi="Palatino Linotype"/>
        </w:rPr>
        <w:t xml:space="preserve"> that residents of Damascus rejected European doctors claiming ‘</w:t>
      </w:r>
      <w:r w:rsidRPr="00CB61B1">
        <w:rPr>
          <w:rFonts w:ascii="Palatino Linotype" w:hAnsi="Palatino Linotype"/>
          <w:lang w:val="en-GB"/>
        </w:rPr>
        <w:t>that they do not know the climate (</w:t>
      </w:r>
      <w:r w:rsidRPr="00CB61B1">
        <w:rPr>
          <w:rFonts w:ascii="Palatino Linotype" w:hAnsi="Palatino Linotype"/>
          <w:i/>
          <w:lang w:val="en-GB"/>
        </w:rPr>
        <w:t>hawa el belled</w:t>
      </w:r>
      <w:r w:rsidRPr="00CB61B1">
        <w:rPr>
          <w:rFonts w:ascii="Palatino Linotype" w:hAnsi="Palatino Linotype"/>
          <w:lang w:val="en-GB"/>
        </w:rPr>
        <w:t xml:space="preserve">,-lit., the air of the town) </w:t>
      </w:r>
      <w:r>
        <w:rPr>
          <w:rFonts w:ascii="Palatino Linotype" w:hAnsi="Palatino Linotype"/>
          <w:lang w:val="en-GB"/>
        </w:rPr>
        <w:t xml:space="preserve">and the local diseases.’ </w:t>
      </w:r>
      <w:r w:rsidRPr="00CB61B1">
        <w:rPr>
          <w:rFonts w:ascii="Palatino Linotype" w:hAnsi="Palatino Linotype"/>
          <w:lang w:val="en-GB"/>
        </w:rPr>
        <w:t xml:space="preserve">Paton, </w:t>
      </w:r>
      <w:r w:rsidRPr="00CB61B1">
        <w:rPr>
          <w:rFonts w:ascii="Palatino Linotype" w:hAnsi="Palatino Linotype"/>
          <w:i/>
          <w:lang w:val="en-GB"/>
        </w:rPr>
        <w:t>The Modern Syrians</w:t>
      </w:r>
      <w:r>
        <w:rPr>
          <w:rFonts w:ascii="Palatino Linotype" w:hAnsi="Palatino Linotype"/>
          <w:lang w:val="en-GB"/>
        </w:rPr>
        <w:t>:</w:t>
      </w:r>
      <w:r w:rsidRPr="00CB61B1">
        <w:rPr>
          <w:rFonts w:ascii="Palatino Linotype" w:hAnsi="Palatino Linotype"/>
          <w:lang w:val="en-GB"/>
        </w:rPr>
        <w:t xml:space="preserve"> 199.</w:t>
      </w:r>
    </w:p>
  </w:footnote>
  <w:footnote w:id="15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One of the six</w:t>
      </w:r>
      <w:r w:rsidRPr="00C72FD6">
        <w:rPr>
          <w:rFonts w:ascii="Palatino Linotype" w:hAnsi="Palatino Linotype"/>
          <w:lang w:val="en-GB"/>
        </w:rPr>
        <w:t xml:space="preserve"> propos</w:t>
      </w:r>
      <w:r>
        <w:rPr>
          <w:rFonts w:ascii="Palatino Linotype" w:hAnsi="Palatino Linotype"/>
          <w:lang w:val="en-GB"/>
        </w:rPr>
        <w:t>ed departments</w:t>
      </w:r>
      <w:r w:rsidRPr="00C72FD6">
        <w:rPr>
          <w:rFonts w:ascii="Palatino Linotype" w:hAnsi="Palatino Linotype"/>
          <w:lang w:val="en-GB"/>
        </w:rPr>
        <w:t xml:space="preserve"> for the Syrian Protestant College</w:t>
      </w:r>
      <w:r>
        <w:rPr>
          <w:rFonts w:ascii="Palatino Linotype" w:hAnsi="Palatino Linotype"/>
          <w:lang w:val="en-GB"/>
        </w:rPr>
        <w:t xml:space="preserve"> in 1863</w:t>
      </w:r>
      <w:r w:rsidRPr="00C72FD6">
        <w:rPr>
          <w:rFonts w:ascii="Palatino Linotype" w:hAnsi="Palatino Linotype"/>
          <w:lang w:val="en-GB"/>
        </w:rPr>
        <w:t xml:space="preserve"> was for medicine. The medicine department was eventually founded in 1867. Elshakry, ‘The Gospel of Science’: 192-193.</w:t>
      </w:r>
    </w:p>
  </w:footnote>
  <w:footnote w:id="15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George B. Whiting, ‘Report: Native Girls Under Instruction in the Mission Families’ (Beirut: 20 March 1844): Reel 538: 80-82A.</w:t>
      </w:r>
    </w:p>
  </w:footnote>
  <w:footnote w:id="15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DeForest, ‘Letter to R. Anderson’ (Abeih, 15 August 1850): 138-142.</w:t>
      </w:r>
    </w:p>
  </w:footnote>
  <w:footnote w:id="159">
    <w:p w:rsidR="007F7DD4" w:rsidRPr="00C72FD6" w:rsidRDefault="007F7DD4" w:rsidP="001761FF">
      <w:pPr>
        <w:pStyle w:val="FootnoteText"/>
        <w:ind w:left="90" w:hanging="90"/>
        <w:jc w:val="both"/>
        <w:rPr>
          <w:rFonts w:ascii="Palatino Linotype" w:hAnsi="Palatino Linotype"/>
        </w:rPr>
      </w:pPr>
      <w:r w:rsidRPr="00C72FD6">
        <w:rPr>
          <w:rStyle w:val="FootnoteReference"/>
          <w:rFonts w:ascii="Palatino Linotype" w:hAnsi="Palatino Linotype"/>
        </w:rPr>
        <w:footnoteRef/>
      </w:r>
      <w:r w:rsidRPr="00C72FD6">
        <w:rPr>
          <w:rFonts w:ascii="Palatino Linotype" w:hAnsi="Palatino Linotype"/>
        </w:rPr>
        <w:t xml:space="preserve"> These are optical devices where images pass through small a pin-hole and are reproduced in correct proportions, al</w:t>
      </w:r>
      <w:r>
        <w:rPr>
          <w:rFonts w:ascii="Palatino Linotype" w:hAnsi="Palatino Linotype"/>
        </w:rPr>
        <w:t>though smaller and upside-down, on a blank surface.</w:t>
      </w:r>
    </w:p>
  </w:footnote>
  <w:footnote w:id="16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Deforest</w:t>
      </w:r>
      <w:r w:rsidRPr="00C72FD6">
        <w:rPr>
          <w:rFonts w:ascii="Palatino Linotype" w:hAnsi="Palatino Linotype"/>
          <w:lang w:val="en-GB"/>
        </w:rPr>
        <w:t xml:space="preserve">, ‘Journal’ (n.s., 1842); </w:t>
      </w:r>
      <w:r w:rsidRPr="00C72FD6">
        <w:rPr>
          <w:rFonts w:ascii="Palatino Linotype" w:hAnsi="Palatino Linotype"/>
          <w:i/>
          <w:lang w:val="en-GB"/>
        </w:rPr>
        <w:t>MH</w:t>
      </w:r>
      <w:r w:rsidRPr="00C72FD6">
        <w:rPr>
          <w:rFonts w:ascii="Palatino Linotype" w:hAnsi="Palatino Linotype"/>
          <w:lang w:val="en-GB"/>
        </w:rPr>
        <w:t xml:space="preserve"> (1837): 442-443; </w:t>
      </w:r>
      <w:r w:rsidRPr="00C72FD6">
        <w:rPr>
          <w:rFonts w:ascii="Palatino Linotype" w:hAnsi="Palatino Linotype"/>
          <w:i/>
          <w:lang w:val="en-GB"/>
        </w:rPr>
        <w:t>MH</w:t>
      </w:r>
      <w:r w:rsidRPr="00C72FD6">
        <w:rPr>
          <w:rFonts w:ascii="Palatino Linotype" w:hAnsi="Palatino Linotype"/>
          <w:lang w:val="en-GB"/>
        </w:rPr>
        <w:t xml:space="preserve"> (1841): 30.</w:t>
      </w:r>
    </w:p>
  </w:footnote>
  <w:footnote w:id="16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Edward Hitcock, ‘Notes on the Geology of Several Parts of Western Asia: Founded Chiefly on Specimens and Descriptions from American Missionaries’, in: n.s., </w:t>
      </w:r>
      <w:r w:rsidRPr="00C72FD6">
        <w:rPr>
          <w:rFonts w:ascii="Palatino Linotype" w:hAnsi="Palatino Linotype"/>
          <w:i/>
          <w:lang w:val="en-GB"/>
        </w:rPr>
        <w:t xml:space="preserve">Reports of the First, Second, and Third Meetings of the Association of American Geologists and Naturalists, at Philadelphia, in 1840, and 1841, and at Boston in 1842 </w:t>
      </w:r>
      <w:r w:rsidRPr="00C72FD6">
        <w:rPr>
          <w:rFonts w:ascii="Palatino Linotype" w:hAnsi="Palatino Linotype"/>
          <w:lang w:val="en-GB"/>
        </w:rPr>
        <w:t>(Boston: Gould, Kendall and Lincoln, 1843): 348-349, 358-362.</w:t>
      </w:r>
    </w:p>
  </w:footnote>
  <w:footnote w:id="16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197; Smith, ‘Letter to Sister’ (Bhamdoun, 4 September 1852)</w:t>
      </w:r>
      <w:r>
        <w:rPr>
          <w:rFonts w:ascii="Palatino Linotype" w:hAnsi="Palatino Linotype"/>
          <w:lang w:val="en-GB"/>
        </w:rPr>
        <w:t>.</w:t>
      </w:r>
    </w:p>
  </w:footnote>
  <w:footnote w:id="16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See</w:t>
      </w:r>
      <w:r>
        <w:rPr>
          <w:rFonts w:ascii="Palatino Linotype" w:hAnsi="Palatino Linotype"/>
          <w:lang w:val="en-GB"/>
        </w:rPr>
        <w:t xml:space="preserve"> al-Bustani</w:t>
      </w:r>
      <w:r w:rsidRPr="00C72FD6">
        <w:rPr>
          <w:rFonts w:ascii="Palatino Linotype" w:hAnsi="Palatino Linotype"/>
          <w:lang w:val="en-GB"/>
        </w:rPr>
        <w:t xml:space="preserve">, </w:t>
      </w:r>
      <w:r w:rsidRPr="00C72FD6">
        <w:rPr>
          <w:rFonts w:ascii="Palatino Linotype" w:hAnsi="Palatino Linotype"/>
          <w:i/>
          <w:lang w:val="en-GB"/>
        </w:rPr>
        <w:t>Al-Jam‘iyah al-Suriyah</w:t>
      </w:r>
      <w:r>
        <w:rPr>
          <w:rFonts w:ascii="Palatino Linotype" w:hAnsi="Palatino Linotype"/>
          <w:i/>
          <w:lang w:val="en-GB"/>
        </w:rPr>
        <w:t>.</w:t>
      </w:r>
      <w:r w:rsidRPr="00C72FD6">
        <w:rPr>
          <w:rFonts w:ascii="Palatino Linotype" w:hAnsi="Palatino Linotype"/>
          <w:i/>
          <w:lang w:val="en-GB"/>
        </w:rPr>
        <w:t xml:space="preserve"> </w:t>
      </w:r>
    </w:p>
  </w:footnote>
  <w:footnote w:id="16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 xml:space="preserve">A list of these individuals are printed in Appendix III:B. </w:t>
      </w:r>
      <w:r w:rsidRPr="00C72FD6">
        <w:rPr>
          <w:rFonts w:ascii="Palatino Linotype" w:hAnsi="Palatino Linotype"/>
          <w:lang w:val="en-GB"/>
        </w:rPr>
        <w:t xml:space="preserve">Edward E. Salisbury, ‘II. Syrian Society of Arts and Sciences’, </w:t>
      </w:r>
      <w:r w:rsidRPr="00C72FD6">
        <w:rPr>
          <w:rFonts w:ascii="Palatino Linotype" w:hAnsi="Palatino Linotype"/>
          <w:i/>
          <w:lang w:val="en-GB"/>
        </w:rPr>
        <w:t xml:space="preserve">Journal of the American Oriental Society, </w:t>
      </w:r>
      <w:r w:rsidRPr="00C72FD6">
        <w:rPr>
          <w:rFonts w:ascii="Palatino Linotype" w:hAnsi="Palatino Linotype"/>
          <w:lang w:val="en-GB"/>
        </w:rPr>
        <w:t xml:space="preserve">3 (1853): 478; </w:t>
      </w:r>
      <w:r>
        <w:rPr>
          <w:rFonts w:ascii="Palatino Linotype" w:hAnsi="Palatino Linotype"/>
          <w:lang w:val="en-GB"/>
        </w:rPr>
        <w:t>al-Bustani</w:t>
      </w:r>
      <w:r w:rsidRPr="00C72FD6">
        <w:rPr>
          <w:rFonts w:ascii="Palatino Linotype" w:hAnsi="Palatino Linotype"/>
          <w:lang w:val="en-GB"/>
        </w:rPr>
        <w:t xml:space="preserve">, </w:t>
      </w:r>
      <w:r w:rsidRPr="00C72FD6">
        <w:rPr>
          <w:rFonts w:ascii="Palatino Linotype" w:hAnsi="Palatino Linotype"/>
          <w:i/>
          <w:lang w:val="en-GB"/>
        </w:rPr>
        <w:t>Al-Jam‘iyah al-Suriyah</w:t>
      </w:r>
      <w:r w:rsidRPr="00C72FD6">
        <w:rPr>
          <w:rFonts w:ascii="Palatino Linotype" w:hAnsi="Palatino Linotype"/>
          <w:lang w:val="en-GB"/>
        </w:rPr>
        <w:t>: 17-18.</w:t>
      </w:r>
    </w:p>
  </w:footnote>
  <w:footnote w:id="16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Quoted in Salisbury, ‘II. Syrian Society of Arts and Sciences’: 477-478.</w:t>
      </w:r>
    </w:p>
  </w:footnote>
  <w:footnote w:id="16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Butrus </w:t>
      </w:r>
      <w:r>
        <w:rPr>
          <w:rFonts w:ascii="Palatino Linotype" w:hAnsi="Palatino Linotype"/>
          <w:lang w:val="en-GB"/>
        </w:rPr>
        <w:t>al-Bustani</w:t>
      </w:r>
      <w:r w:rsidRPr="00C72FD6">
        <w:rPr>
          <w:rFonts w:ascii="Palatino Linotype" w:hAnsi="Palatino Linotype"/>
          <w:lang w:val="en-GB"/>
        </w:rPr>
        <w:t xml:space="preserve">, ‘Letter to Eli Smith’ (Beirut, 6 January 1852): HHL: </w:t>
      </w:r>
      <w:r>
        <w:rPr>
          <w:rFonts w:ascii="Palatino Linotype" w:hAnsi="Palatino Linotype"/>
          <w:lang w:val="en-GB"/>
        </w:rPr>
        <w:t>ABC 60 (1</w:t>
      </w:r>
      <w:r w:rsidRPr="00C72FD6">
        <w:rPr>
          <w:rFonts w:ascii="Palatino Linotype" w:hAnsi="Palatino Linotype"/>
          <w:lang w:val="en-GB"/>
        </w:rPr>
        <w:t>2</w:t>
      </w:r>
      <w:r>
        <w:rPr>
          <w:rFonts w:ascii="Palatino Linotype" w:hAnsi="Palatino Linotype"/>
          <w:lang w:val="en-GB"/>
        </w:rPr>
        <w:t>).</w:t>
      </w:r>
      <w:r w:rsidRPr="00C72FD6">
        <w:rPr>
          <w:rFonts w:ascii="Palatino Linotype" w:hAnsi="Palatino Linotype"/>
          <w:lang w:val="en-GB"/>
        </w:rPr>
        <w:t xml:space="preserve"> Eli Smith quoted in Salibury, ‘II. Syrian Society of Arts and Sciences’: 482.</w:t>
      </w:r>
    </w:p>
  </w:footnote>
  <w:footnote w:id="16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Eli Smith quoted in Salibury, ‘II. Syrian Society of Arts and Sciences’: 482.</w:t>
      </w:r>
    </w:p>
  </w:footnote>
  <w:footnote w:id="16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 xml:space="preserve">MH </w:t>
      </w:r>
      <w:r w:rsidRPr="00C72FD6">
        <w:rPr>
          <w:rFonts w:ascii="Palatino Linotype" w:hAnsi="Palatino Linotype"/>
          <w:lang w:val="en-GB"/>
        </w:rPr>
        <w:t xml:space="preserve">(1858): 143. </w:t>
      </w:r>
    </w:p>
  </w:footnote>
  <w:footnote w:id="16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D</w:t>
      </w:r>
      <w:r>
        <w:rPr>
          <w:rFonts w:ascii="Palatino Linotype" w:hAnsi="Palatino Linotype"/>
          <w:lang w:val="en-GB"/>
        </w:rPr>
        <w:t>eForest, ‘Journal’ (n.s., 1842)</w:t>
      </w:r>
      <w:r w:rsidRPr="00C72FD6">
        <w:rPr>
          <w:rFonts w:ascii="Palatino Linotype" w:hAnsi="Palatino Linotype"/>
          <w:lang w:val="en-GB"/>
        </w:rPr>
        <w:t xml:space="preserve">; Thomson, </w:t>
      </w:r>
      <w:r w:rsidRPr="00C72FD6">
        <w:rPr>
          <w:rFonts w:ascii="Palatino Linotype" w:hAnsi="Palatino Linotype"/>
          <w:i/>
          <w:lang w:val="en-GB"/>
        </w:rPr>
        <w:t>LB</w:t>
      </w:r>
      <w:r w:rsidRPr="00C72FD6">
        <w:rPr>
          <w:rFonts w:ascii="Palatino Linotype" w:hAnsi="Palatino Linotype"/>
          <w:lang w:val="en-GB"/>
        </w:rPr>
        <w:t>:</w:t>
      </w:r>
      <w:r w:rsidRPr="00C72FD6">
        <w:rPr>
          <w:rFonts w:ascii="Palatino Linotype" w:hAnsi="Palatino Linotype"/>
          <w:i/>
          <w:lang w:val="en-GB"/>
        </w:rPr>
        <w:t>I:</w:t>
      </w:r>
      <w:r w:rsidRPr="00C72FD6">
        <w:rPr>
          <w:rFonts w:ascii="Palatino Linotype" w:hAnsi="Palatino Linotype"/>
          <w:lang w:val="en-GB"/>
        </w:rPr>
        <w:t xml:space="preserve"> 393.</w:t>
      </w:r>
    </w:p>
  </w:footnote>
  <w:footnote w:id="17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208.</w:t>
      </w:r>
    </w:p>
  </w:footnote>
  <w:footnote w:id="17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This differs from the argument presented by Makdisi, who asserts that ‘the Americans in Syria dressed, furnished their homes and ate according to the American style…there was no need to adopt to native clothes’. Makdisi, ‘Reclaiming the Land of the Bible’: 690.</w:t>
      </w:r>
    </w:p>
  </w:footnote>
  <w:footnote w:id="17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Thomson, </w:t>
      </w:r>
      <w:r w:rsidRPr="00151FED">
        <w:rPr>
          <w:rFonts w:ascii="Palatino Linotype" w:hAnsi="Palatino Linotype"/>
          <w:i/>
          <w:lang w:val="en-GB"/>
        </w:rPr>
        <w:t>LB</w:t>
      </w:r>
      <w:r w:rsidRPr="00C72FD6">
        <w:rPr>
          <w:rFonts w:ascii="Palatino Linotype" w:hAnsi="Palatino Linotype"/>
          <w:lang w:val="en-GB"/>
        </w:rPr>
        <w:t xml:space="preserve">, </w:t>
      </w:r>
      <w:r w:rsidRPr="00C72FD6">
        <w:rPr>
          <w:rFonts w:ascii="Palatino Linotype" w:hAnsi="Palatino Linotype"/>
          <w:i/>
          <w:lang w:val="en-GB"/>
        </w:rPr>
        <w:t>II</w:t>
      </w:r>
      <w:r w:rsidRPr="00C72FD6">
        <w:rPr>
          <w:rFonts w:ascii="Palatino Linotype" w:hAnsi="Palatino Linotype"/>
          <w:lang w:val="en-GB"/>
        </w:rPr>
        <w:t>: 397.</w:t>
      </w:r>
    </w:p>
  </w:footnote>
  <w:footnote w:id="17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(1842): 430-432.</w:t>
      </w:r>
    </w:p>
  </w:footnote>
  <w:footnote w:id="17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(1847): 83; Badr, ‘Missions to “Nominal Christians”: 206.</w:t>
      </w:r>
    </w:p>
  </w:footnote>
  <w:footnote w:id="17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Tibawi</w:t>
      </w:r>
      <w:r w:rsidRPr="00C72FD6">
        <w:rPr>
          <w:rFonts w:ascii="Palatino Linotype" w:hAnsi="Palatino Linotype"/>
          <w:lang w:val="en-GB"/>
        </w:rPr>
        <w:t>, ‘The American Missionaries in Beirut’: 160.</w:t>
      </w:r>
    </w:p>
  </w:footnote>
  <w:footnote w:id="17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Smith, ‘Letter to Sister’ (Beirut, 1 May 1854).</w:t>
      </w:r>
    </w:p>
  </w:footnote>
  <w:footnote w:id="17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For a review of Wortabet’s lecture see n.s., ‘Lectures on Syria’, </w:t>
      </w:r>
      <w:r w:rsidRPr="00C72FD6">
        <w:rPr>
          <w:rFonts w:ascii="Palatino Linotype" w:hAnsi="Palatino Linotype"/>
          <w:i/>
          <w:lang w:val="en-GB"/>
        </w:rPr>
        <w:t>New York Times (</w:t>
      </w:r>
      <w:r w:rsidRPr="00C72FD6">
        <w:rPr>
          <w:rFonts w:ascii="Palatino Linotype" w:hAnsi="Palatino Linotype"/>
          <w:lang w:val="en-GB"/>
        </w:rPr>
        <w:t>29 May 1852).</w:t>
      </w:r>
    </w:p>
  </w:footnote>
  <w:footnote w:id="17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Henrietta Smith, ‘Letter to Sisters’ (Beirut, 1 May 1850): YDS: ES Box 1: Folder 20.</w:t>
      </w:r>
    </w:p>
  </w:footnote>
  <w:footnote w:id="17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Butrus </w:t>
      </w:r>
      <w:r>
        <w:rPr>
          <w:rFonts w:ascii="Palatino Linotype" w:hAnsi="Palatino Linotype"/>
          <w:lang w:val="en-GB"/>
        </w:rPr>
        <w:t>al-Bustani</w:t>
      </w:r>
      <w:r w:rsidRPr="00C72FD6">
        <w:rPr>
          <w:rFonts w:ascii="Palatino Linotype" w:hAnsi="Palatino Linotype"/>
          <w:lang w:val="en-GB"/>
        </w:rPr>
        <w:t xml:space="preserve">, ‘Letter to Eli Smith’ (Beirut, 6 January 1851): HHL: </w:t>
      </w:r>
      <w:r>
        <w:rPr>
          <w:rFonts w:ascii="Palatino Linotype" w:hAnsi="Palatino Linotype"/>
          <w:lang w:val="en-GB"/>
        </w:rPr>
        <w:t>ABC 60 (</w:t>
      </w:r>
      <w:r w:rsidRPr="00C72FD6">
        <w:rPr>
          <w:rFonts w:ascii="Palatino Linotype" w:hAnsi="Palatino Linotype"/>
          <w:lang w:val="en-GB"/>
        </w:rPr>
        <w:t>12</w:t>
      </w:r>
      <w:r>
        <w:rPr>
          <w:rFonts w:ascii="Palatino Linotype" w:hAnsi="Palatino Linotype"/>
          <w:lang w:val="en-GB"/>
        </w:rPr>
        <w:t>)</w:t>
      </w:r>
      <w:r w:rsidRPr="00C72FD6">
        <w:rPr>
          <w:rFonts w:ascii="Palatino Linotype" w:hAnsi="Palatino Linotype"/>
          <w:lang w:val="en-GB"/>
        </w:rPr>
        <w:t xml:space="preserve">; Eli Smith, ‘Letter to Rufus Anderson’ (Beirut, 19 October 1855): HHL: </w:t>
      </w:r>
      <w:r>
        <w:rPr>
          <w:rFonts w:ascii="Palatino Linotype" w:hAnsi="Palatino Linotype"/>
          <w:lang w:val="en-GB"/>
        </w:rPr>
        <w:t>ABC 60 (</w:t>
      </w:r>
      <w:r w:rsidRPr="00C72FD6">
        <w:rPr>
          <w:rFonts w:ascii="Palatino Linotype" w:hAnsi="Palatino Linotype"/>
          <w:lang w:val="en-GB"/>
        </w:rPr>
        <w:t>105</w:t>
      </w:r>
      <w:r>
        <w:rPr>
          <w:rFonts w:ascii="Palatino Linotype" w:hAnsi="Palatino Linotype"/>
          <w:lang w:val="en-GB"/>
        </w:rPr>
        <w:t>)</w:t>
      </w:r>
      <w:r w:rsidRPr="00C72FD6">
        <w:rPr>
          <w:rFonts w:ascii="Palatino Linotype" w:hAnsi="Palatino Linotype"/>
          <w:lang w:val="en-GB"/>
        </w:rPr>
        <w:t>.</w:t>
      </w:r>
    </w:p>
  </w:footnote>
  <w:footnote w:id="18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Eli Smith, ‘Letter to Rev. Trotter, Esq.’ (Beirut, 16 October 1855): HHL: ES Box 2: Folder 105/18. For more on </w:t>
      </w:r>
      <w:r>
        <w:rPr>
          <w:rFonts w:ascii="Palatino Linotype" w:hAnsi="Palatino Linotype"/>
          <w:lang w:val="en-GB"/>
        </w:rPr>
        <w:t>al-Bustani</w:t>
      </w:r>
      <w:r w:rsidRPr="00C72FD6">
        <w:rPr>
          <w:rFonts w:ascii="Palatino Linotype" w:hAnsi="Palatino Linotype"/>
          <w:lang w:val="en-GB"/>
        </w:rPr>
        <w:t>’s relationship with the ABCFM see Tibawi, ‘The American Missionaries in Beirut’: 137-182.</w:t>
      </w:r>
    </w:p>
  </w:footnote>
  <w:footnote w:id="18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Tibawi, ‘American Missionaries in B</w:t>
      </w:r>
      <w:r>
        <w:rPr>
          <w:rFonts w:ascii="Palatino Linotype" w:hAnsi="Palatino Linotype"/>
          <w:lang w:val="en-GB"/>
        </w:rPr>
        <w:t xml:space="preserve">eirut’: 168; Marten, </w:t>
      </w:r>
      <w:r w:rsidRPr="00151FED">
        <w:rPr>
          <w:rFonts w:ascii="Palatino Linotype" w:hAnsi="Palatino Linotype"/>
          <w:i/>
          <w:lang w:val="en-GB"/>
        </w:rPr>
        <w:t>Attempting to Bring the Gospel Home</w:t>
      </w:r>
      <w:r w:rsidRPr="00C72FD6">
        <w:rPr>
          <w:rFonts w:ascii="Palatino Linotype" w:hAnsi="Palatino Linotype"/>
          <w:lang w:val="en-GB"/>
        </w:rPr>
        <w:t>: 49.</w:t>
      </w:r>
    </w:p>
  </w:footnote>
  <w:footnote w:id="18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Smith, ‘The Missionary Character’: 27-30.</w:t>
      </w:r>
    </w:p>
  </w:footnote>
  <w:footnote w:id="18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Hopkins, </w:t>
      </w:r>
      <w:r w:rsidRPr="00C72FD6">
        <w:rPr>
          <w:rFonts w:ascii="Palatino Linotype" w:hAnsi="Palatino Linotype"/>
          <w:i/>
          <w:lang w:val="en-GB"/>
        </w:rPr>
        <w:t>True Holiness</w:t>
      </w:r>
      <w:r w:rsidRPr="00C72FD6">
        <w:rPr>
          <w:rFonts w:ascii="Palatino Linotype" w:hAnsi="Palatino Linotype"/>
          <w:lang w:val="en-GB"/>
        </w:rPr>
        <w:t>: 13-14, 51-53. Th</w:t>
      </w:r>
      <w:r>
        <w:rPr>
          <w:rFonts w:ascii="Palatino Linotype" w:hAnsi="Palatino Linotype"/>
          <w:lang w:val="en-GB"/>
        </w:rPr>
        <w:t>e</w:t>
      </w:r>
      <w:r w:rsidRPr="00C72FD6">
        <w:rPr>
          <w:rFonts w:ascii="Palatino Linotype" w:hAnsi="Palatino Linotype"/>
          <w:lang w:val="en-GB"/>
        </w:rPr>
        <w:t xml:space="preserve"> use of the masculine for the divine reflects Hopkins’ gendering of God.</w:t>
      </w:r>
    </w:p>
  </w:footnote>
  <w:footnote w:id="18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Conforti, ‘Samuel Hopkins’: 582.</w:t>
      </w:r>
    </w:p>
  </w:footnote>
  <w:footnote w:id="18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151FED">
        <w:rPr>
          <w:rFonts w:ascii="Palatino Linotype" w:hAnsi="Palatino Linotype"/>
          <w:lang w:val="en-GB"/>
        </w:rPr>
        <w:t>Wortabet,</w:t>
      </w:r>
      <w:r w:rsidRPr="00C72FD6">
        <w:rPr>
          <w:rFonts w:ascii="Palatino Linotype" w:hAnsi="Palatino Linotype"/>
          <w:i/>
          <w:lang w:val="en-GB"/>
        </w:rPr>
        <w:t xml:space="preserve"> RRS: </w:t>
      </w:r>
      <w:r w:rsidRPr="00C72FD6">
        <w:rPr>
          <w:rFonts w:ascii="Palatino Linotype" w:hAnsi="Palatino Linotype"/>
          <w:lang w:val="en-GB"/>
        </w:rPr>
        <w:t>394.</w:t>
      </w:r>
    </w:p>
  </w:footnote>
  <w:footnote w:id="18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‘Missions to “Nominal Christians”’: 39.</w:t>
      </w:r>
    </w:p>
  </w:footnote>
  <w:footnote w:id="18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McCoy, ‘The Women of the ABCFM Oregon Mission’: 70, 80-81.</w:t>
      </w:r>
    </w:p>
  </w:footnote>
  <w:footnote w:id="18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2.</w:t>
      </w:r>
    </w:p>
  </w:footnote>
  <w:footnote w:id="18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ABCFM, </w:t>
      </w:r>
      <w:r w:rsidRPr="00C72FD6">
        <w:rPr>
          <w:rFonts w:ascii="Palatino Linotype" w:hAnsi="Palatino Linotype"/>
          <w:i/>
          <w:lang w:val="en-GB"/>
        </w:rPr>
        <w:t>Annual Report</w:t>
      </w:r>
      <w:r w:rsidRPr="00C72FD6">
        <w:rPr>
          <w:rFonts w:ascii="Palatino Linotype" w:hAnsi="Palatino Linotype"/>
          <w:lang w:val="en-GB"/>
        </w:rPr>
        <w:t xml:space="preserve"> (Beirut, 1836).</w:t>
      </w:r>
    </w:p>
  </w:footnote>
  <w:footnote w:id="19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More research is needed to clarify how works of Protestant Evangelical literature, which included biographies of missionaries, such as Hookers, </w:t>
      </w:r>
      <w:r w:rsidRPr="00C72FD6">
        <w:rPr>
          <w:rFonts w:ascii="Palatino Linotype" w:hAnsi="Palatino Linotype"/>
          <w:i/>
          <w:lang w:val="en-GB"/>
        </w:rPr>
        <w:t>MSLS</w:t>
      </w:r>
      <w:r w:rsidRPr="00C72FD6">
        <w:rPr>
          <w:rFonts w:ascii="Palatino Linotype" w:hAnsi="Palatino Linotype"/>
          <w:lang w:val="en-GB"/>
        </w:rPr>
        <w:t>, compared with contemporary Roman Catholic hagiographies.</w:t>
      </w:r>
    </w:p>
  </w:footnote>
  <w:footnote w:id="191">
    <w:p w:rsidR="007F7DD4" w:rsidRPr="00C72FD6" w:rsidRDefault="007F7DD4" w:rsidP="001761FF">
      <w:pPr>
        <w:pStyle w:val="FootnoteText"/>
        <w:ind w:left="90" w:hanging="90"/>
        <w:jc w:val="both"/>
        <w:rPr>
          <w:rFonts w:ascii="Palatino Linotype" w:hAnsi="Palatino Linotype"/>
        </w:rPr>
      </w:pPr>
      <w:r w:rsidRPr="00C72FD6">
        <w:rPr>
          <w:rStyle w:val="FootnoteReference"/>
          <w:rFonts w:ascii="Palatino Linotype" w:hAnsi="Palatino Linotype"/>
        </w:rPr>
        <w:footnoteRef/>
      </w:r>
      <w:r>
        <w:rPr>
          <w:rFonts w:ascii="Palatino Linotype" w:hAnsi="Palatino Linotype"/>
        </w:rPr>
        <w:t xml:space="preserve"> In 1894, Sarah was memorialised by a </w:t>
      </w:r>
      <w:r w:rsidRPr="00C72FD6">
        <w:rPr>
          <w:rFonts w:ascii="Palatino Linotype" w:hAnsi="Palatino Linotype"/>
        </w:rPr>
        <w:t xml:space="preserve">monument </w:t>
      </w:r>
      <w:r>
        <w:rPr>
          <w:rFonts w:ascii="Palatino Linotype" w:hAnsi="Palatino Linotype"/>
        </w:rPr>
        <w:t xml:space="preserve">that </w:t>
      </w:r>
      <w:r w:rsidRPr="00C72FD6">
        <w:rPr>
          <w:rFonts w:ascii="Palatino Linotype" w:hAnsi="Palatino Linotype"/>
        </w:rPr>
        <w:t>mark</w:t>
      </w:r>
      <w:r>
        <w:rPr>
          <w:rFonts w:ascii="Palatino Linotype" w:hAnsi="Palatino Linotype"/>
        </w:rPr>
        <w:t>ed</w:t>
      </w:r>
      <w:r w:rsidRPr="00C72FD6">
        <w:rPr>
          <w:rFonts w:ascii="Palatino Linotype" w:hAnsi="Palatino Linotype"/>
        </w:rPr>
        <w:t xml:space="preserve"> her activities as a teacher for girls in Syria. Although the pillar was destroyed, its base with the engraving</w:t>
      </w:r>
      <w:r>
        <w:rPr>
          <w:rFonts w:ascii="Palatino Linotype" w:hAnsi="Palatino Linotype"/>
        </w:rPr>
        <w:t>,</w:t>
      </w:r>
      <w:r w:rsidRPr="00C72FD6">
        <w:rPr>
          <w:rFonts w:ascii="Palatino Linotype" w:hAnsi="Palatino Linotype"/>
        </w:rPr>
        <w:t xml:space="preserve"> still stands outside the National Evangelical Church in Beirut.</w:t>
      </w:r>
    </w:p>
  </w:footnote>
  <w:footnote w:id="19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 </w:t>
      </w:r>
      <w:r w:rsidRPr="00C72FD6">
        <w:rPr>
          <w:rFonts w:ascii="Palatino Linotype" w:hAnsi="Palatino Linotype"/>
          <w:lang w:val="en-GB"/>
        </w:rPr>
        <w:t>414.</w:t>
      </w:r>
    </w:p>
  </w:footnote>
  <w:footnote w:id="19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DeForest, ‘Journal’ (9 October 1842).</w:t>
      </w:r>
    </w:p>
  </w:footnote>
  <w:footnote w:id="19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(1846): 384.</w:t>
      </w:r>
    </w:p>
  </w:footnote>
  <w:footnote w:id="19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 </w:t>
      </w:r>
      <w:r w:rsidRPr="00C72FD6">
        <w:rPr>
          <w:rFonts w:ascii="Palatino Linotype" w:hAnsi="Palatino Linotype"/>
          <w:lang w:val="en-GB"/>
        </w:rPr>
        <w:t>375.</w:t>
      </w:r>
    </w:p>
  </w:footnote>
  <w:footnote w:id="19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‘Missions to “Nominal Christians”’: 109-110.</w:t>
      </w:r>
    </w:p>
  </w:footnote>
  <w:footnote w:id="19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 </w:t>
      </w:r>
      <w:r w:rsidRPr="00C72FD6">
        <w:rPr>
          <w:rFonts w:ascii="Palatino Linotype" w:hAnsi="Palatino Linotype"/>
          <w:lang w:val="en-GB"/>
        </w:rPr>
        <w:t xml:space="preserve">404-406; </w:t>
      </w:r>
      <w:r w:rsidRPr="00C72FD6">
        <w:rPr>
          <w:rFonts w:ascii="Palatino Linotype" w:hAnsi="Palatino Linotype"/>
          <w:i/>
          <w:lang w:val="en-GB"/>
        </w:rPr>
        <w:t>MH</w:t>
      </w:r>
      <w:r w:rsidRPr="00C72FD6">
        <w:rPr>
          <w:rFonts w:ascii="Palatino Linotype" w:hAnsi="Palatino Linotype"/>
          <w:lang w:val="en-GB"/>
        </w:rPr>
        <w:t xml:space="preserve"> (1848): 269.</w:t>
      </w:r>
    </w:p>
  </w:footnote>
  <w:footnote w:id="19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Copies of the</w:t>
      </w:r>
      <w:r w:rsidRPr="00C72FD6">
        <w:rPr>
          <w:rFonts w:ascii="Palatino Linotype" w:hAnsi="Palatino Linotype"/>
          <w:lang w:val="en-GB"/>
        </w:rPr>
        <w:t xml:space="preserve"> ‘Confession of Fait</w:t>
      </w:r>
      <w:r>
        <w:rPr>
          <w:rFonts w:ascii="Palatino Linotype" w:hAnsi="Palatino Linotype"/>
          <w:lang w:val="en-GB"/>
        </w:rPr>
        <w:t>h’, with notes, and ‘Covenant’ are found</w:t>
      </w:r>
      <w:r w:rsidRPr="00C72FD6">
        <w:rPr>
          <w:rFonts w:ascii="Palatino Linotype" w:hAnsi="Palatino Linotype"/>
          <w:lang w:val="en-GB"/>
        </w:rPr>
        <w:t xml:space="preserve"> in Appendix V.</w:t>
      </w:r>
    </w:p>
  </w:footnote>
  <w:footnote w:id="199">
    <w:p w:rsidR="007F7DD4" w:rsidRPr="00CD1FF2"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Daniel Bliss recalled that, after being denied membership to the ECB, one Seminary student ‘said that he would like to unite with the Protestant Church, but he thanked God that the gate of Heaven was always open and that all who loved the Lord Jesus could enter, who never said, “Wait a while.</w:t>
      </w:r>
      <w:r>
        <w:rPr>
          <w:rFonts w:ascii="Palatino Linotype" w:hAnsi="Palatino Linotype"/>
          <w:lang w:val="en-GB"/>
        </w:rPr>
        <w:t>”</w:t>
      </w:r>
      <w:r w:rsidRPr="00C72FD6">
        <w:rPr>
          <w:rFonts w:ascii="Palatino Linotype" w:hAnsi="Palatino Linotype"/>
          <w:lang w:val="en-GB"/>
        </w:rPr>
        <w:t xml:space="preserve"> He was admitted, lived and died a constant Christian.’ Bliss, </w:t>
      </w:r>
      <w:r w:rsidRPr="00CD1FF2">
        <w:rPr>
          <w:rFonts w:ascii="Palatino Linotype" w:hAnsi="Palatino Linotype"/>
          <w:i/>
          <w:lang w:val="en-GB"/>
        </w:rPr>
        <w:t>RDS</w:t>
      </w:r>
      <w:r w:rsidRPr="00CD1FF2">
        <w:rPr>
          <w:rFonts w:ascii="Palatino Linotype" w:hAnsi="Palatino Linotype"/>
          <w:lang w:val="en-GB"/>
        </w:rPr>
        <w:t>: 131-132.</w:t>
      </w:r>
    </w:p>
  </w:footnote>
  <w:footnote w:id="200">
    <w:p w:rsidR="007F7DD4" w:rsidRDefault="007F7DD4" w:rsidP="001761FF">
      <w:pPr>
        <w:pStyle w:val="FootnoteText"/>
        <w:ind w:left="90" w:hanging="90"/>
        <w:jc w:val="both"/>
      </w:pPr>
      <w:r w:rsidRPr="00CD1FF2">
        <w:rPr>
          <w:rStyle w:val="FootnoteReference"/>
          <w:rFonts w:ascii="Palatino Linotype" w:hAnsi="Palatino Linotype"/>
        </w:rPr>
        <w:footnoteRef/>
      </w:r>
      <w:r w:rsidRPr="00CD1FF2">
        <w:rPr>
          <w:rFonts w:ascii="Palatino Linotype" w:hAnsi="Palatino Linotype"/>
        </w:rPr>
        <w:t xml:space="preserve"> Wortabet, </w:t>
      </w:r>
      <w:r w:rsidRPr="00CD1FF2">
        <w:rPr>
          <w:rFonts w:ascii="Palatino Linotype" w:hAnsi="Palatino Linotype"/>
          <w:i/>
        </w:rPr>
        <w:t>RRS:</w:t>
      </w:r>
      <w:r w:rsidRPr="00CD1FF2">
        <w:rPr>
          <w:rFonts w:ascii="Palatino Linotype" w:hAnsi="Palatino Linotype"/>
        </w:rPr>
        <w:t xml:space="preserve"> 407.</w:t>
      </w:r>
    </w:p>
  </w:footnote>
  <w:footnote w:id="20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Hooker, </w:t>
      </w:r>
      <w:r w:rsidRPr="00C72FD6">
        <w:rPr>
          <w:rFonts w:ascii="Palatino Linotype" w:hAnsi="Palatino Linotype"/>
          <w:i/>
          <w:lang w:val="en-GB"/>
        </w:rPr>
        <w:t>MSLS</w:t>
      </w:r>
      <w:r w:rsidRPr="00C72FD6">
        <w:rPr>
          <w:rFonts w:ascii="Palatino Linotype" w:hAnsi="Palatino Linotype"/>
          <w:lang w:val="en-GB"/>
        </w:rPr>
        <w:t>: 6.</w:t>
      </w:r>
    </w:p>
  </w:footnote>
  <w:footnote w:id="202">
    <w:p w:rsidR="007F7DD4" w:rsidRPr="00C72FD6" w:rsidRDefault="007F7DD4" w:rsidP="001761FF">
      <w:pPr>
        <w:pStyle w:val="FootnoteText"/>
        <w:ind w:left="90" w:hanging="90"/>
        <w:jc w:val="both"/>
        <w:rPr>
          <w:rFonts w:ascii="Palatino Linotype" w:hAnsi="Palatino Linotype"/>
        </w:rPr>
      </w:pPr>
      <w:r w:rsidRPr="00C72FD6">
        <w:rPr>
          <w:rStyle w:val="FootnoteReference"/>
          <w:rFonts w:ascii="Palatino Linotype" w:hAnsi="Palatino Linotype"/>
        </w:rPr>
        <w:footnoteRef/>
      </w:r>
      <w:r w:rsidRPr="00C72FD6">
        <w:rPr>
          <w:rFonts w:ascii="Palatino Linotype" w:hAnsi="Palatino Linotype"/>
        </w:rPr>
        <w:t xml:space="preserve"> See Appendix V.</w:t>
      </w:r>
    </w:p>
  </w:footnote>
  <w:footnote w:id="203">
    <w:p w:rsidR="007F7DD4" w:rsidRPr="00053B19" w:rsidRDefault="007F7DD4" w:rsidP="001761FF">
      <w:pPr>
        <w:pStyle w:val="FootnoteText"/>
        <w:ind w:left="90" w:hanging="90"/>
        <w:jc w:val="both"/>
        <w:rPr>
          <w:rFonts w:ascii="Palatino Linotype" w:hAnsi="Palatino Linotype"/>
        </w:rPr>
      </w:pPr>
      <w:r w:rsidRPr="00053B19">
        <w:rPr>
          <w:rStyle w:val="FootnoteReference"/>
          <w:rFonts w:ascii="Palatino Linotype" w:hAnsi="Palatino Linotype"/>
        </w:rPr>
        <w:footnoteRef/>
      </w:r>
      <w:r w:rsidRPr="00053B19">
        <w:rPr>
          <w:rFonts w:ascii="Palatino Linotype" w:hAnsi="Palatino Linotype"/>
        </w:rPr>
        <w:t xml:space="preserve"> Guidelines for the discipline of ‘spiritual, ‘personal’ and ‘public’ offences were established by the ECB</w:t>
      </w:r>
      <w:r>
        <w:rPr>
          <w:rFonts w:ascii="Palatino Linotype" w:hAnsi="Palatino Linotype"/>
        </w:rPr>
        <w:t xml:space="preserve"> and printed in</w:t>
      </w:r>
      <w:r w:rsidRPr="00053B19">
        <w:rPr>
          <w:rFonts w:ascii="Palatino Linotype" w:hAnsi="Palatino Linotype"/>
        </w:rPr>
        <w:t xml:space="preserve"> </w:t>
      </w:r>
      <w:r w:rsidRPr="00053B19">
        <w:rPr>
          <w:rFonts w:ascii="Palatino Linotype" w:hAnsi="Palatino Linotype"/>
          <w:i/>
        </w:rPr>
        <w:t>MH</w:t>
      </w:r>
      <w:r w:rsidRPr="00053B19">
        <w:rPr>
          <w:rFonts w:ascii="Palatino Linotype" w:hAnsi="Palatino Linotype"/>
        </w:rPr>
        <w:t xml:space="preserve"> (1848): 270; Wortabet, </w:t>
      </w:r>
      <w:r w:rsidRPr="00053B19">
        <w:rPr>
          <w:rFonts w:ascii="Palatino Linotype" w:hAnsi="Palatino Linotype"/>
          <w:i/>
        </w:rPr>
        <w:t>RRS</w:t>
      </w:r>
      <w:r w:rsidRPr="00053B19">
        <w:rPr>
          <w:rFonts w:ascii="Palatino Linotype" w:hAnsi="Palatino Linotype"/>
        </w:rPr>
        <w:t>: 411-413.</w:t>
      </w:r>
    </w:p>
  </w:footnote>
  <w:footnote w:id="204">
    <w:p w:rsidR="007F7DD4" w:rsidRPr="00C72FD6" w:rsidRDefault="007F7DD4" w:rsidP="001761FF">
      <w:pPr>
        <w:pStyle w:val="FootnoteText"/>
        <w:ind w:left="90" w:hanging="90"/>
        <w:jc w:val="both"/>
        <w:rPr>
          <w:rFonts w:ascii="Palatino Linotype" w:hAnsi="Palatino Linotype"/>
          <w:lang w:val="en-GB"/>
        </w:rPr>
      </w:pPr>
      <w:r w:rsidRPr="00053B19">
        <w:rPr>
          <w:rStyle w:val="FootnoteReference"/>
          <w:rFonts w:ascii="Palatino Linotype" w:hAnsi="Palatino Linotype"/>
          <w:lang w:val="en-GB"/>
        </w:rPr>
        <w:footnoteRef/>
      </w:r>
      <w:r w:rsidRPr="00053B19">
        <w:rPr>
          <w:rFonts w:ascii="Palatino Linotype" w:hAnsi="Palatino Linotype"/>
          <w:lang w:val="en-GB"/>
        </w:rPr>
        <w:t xml:space="preserve"> Emphasis in original. </w:t>
      </w:r>
      <w:r w:rsidRPr="00053B19">
        <w:rPr>
          <w:rFonts w:ascii="Palatino Linotype" w:hAnsi="Palatino Linotype"/>
          <w:i/>
          <w:lang w:val="en-GB"/>
        </w:rPr>
        <w:t>MH</w:t>
      </w:r>
      <w:r w:rsidRPr="00053B19">
        <w:rPr>
          <w:rFonts w:ascii="Palatino Linotype" w:hAnsi="Palatino Linotype"/>
          <w:lang w:val="en-GB"/>
        </w:rPr>
        <w:t xml:space="preserve"> (1845): 15.</w:t>
      </w:r>
    </w:p>
  </w:footnote>
  <w:footnote w:id="20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‘Missions to “Nominal Christians”’: 109-110.</w:t>
      </w:r>
    </w:p>
  </w:footnote>
  <w:footnote w:id="20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See Sada (Sabunjy) Barakat in Jessup, </w:t>
      </w:r>
      <w:r w:rsidRPr="00C72FD6">
        <w:rPr>
          <w:rFonts w:ascii="Palatino Linotype" w:hAnsi="Palatino Linotype"/>
          <w:i/>
          <w:lang w:val="en-GB"/>
        </w:rPr>
        <w:t>WA</w:t>
      </w:r>
      <w:r w:rsidRPr="00C72FD6">
        <w:rPr>
          <w:rFonts w:ascii="Palatino Linotype" w:hAnsi="Palatino Linotype"/>
          <w:lang w:val="en-GB"/>
        </w:rPr>
        <w:t xml:space="preserve">: 85-87; Rufka Gregroy in Jessup, </w:t>
      </w:r>
      <w:r w:rsidRPr="00C72FD6">
        <w:rPr>
          <w:rFonts w:ascii="Palatino Linotype" w:hAnsi="Palatino Linotype"/>
          <w:i/>
          <w:lang w:val="en-GB"/>
        </w:rPr>
        <w:t>WA</w:t>
      </w:r>
      <w:r w:rsidRPr="00C72FD6">
        <w:rPr>
          <w:rFonts w:ascii="Palatino Linotype" w:hAnsi="Palatino Linotype"/>
          <w:lang w:val="en-GB"/>
        </w:rPr>
        <w:t>: 102-103.</w:t>
      </w:r>
    </w:p>
  </w:footnote>
  <w:footnote w:id="20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Whiting, ‘Report: Native Girls Under Instruction in the Mission Families’: 80-82A; ABCFM, </w:t>
      </w:r>
      <w:r w:rsidRPr="00C72FD6">
        <w:rPr>
          <w:rFonts w:ascii="Palatino Linotype" w:hAnsi="Palatino Linotype"/>
          <w:i/>
          <w:lang w:val="en-GB"/>
        </w:rPr>
        <w:t>Annual Report</w:t>
      </w:r>
      <w:r w:rsidRPr="00C72FD6">
        <w:rPr>
          <w:rFonts w:ascii="Palatino Linotype" w:hAnsi="Palatino Linotype"/>
          <w:lang w:val="en-GB"/>
        </w:rPr>
        <w:t xml:space="preserve"> (Abeih, 1844).</w:t>
      </w:r>
    </w:p>
  </w:footnote>
  <w:footnote w:id="20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Melita Carabet in Jessup, </w:t>
      </w:r>
      <w:r w:rsidRPr="00C72FD6">
        <w:rPr>
          <w:rFonts w:ascii="Palatino Linotype" w:hAnsi="Palatino Linotype"/>
          <w:i/>
          <w:lang w:val="en-GB"/>
        </w:rPr>
        <w:t>WA</w:t>
      </w:r>
      <w:r w:rsidRPr="00C72FD6">
        <w:rPr>
          <w:rFonts w:ascii="Palatino Linotype" w:hAnsi="Palatino Linotype"/>
          <w:lang w:val="en-GB"/>
        </w:rPr>
        <w:t>: 66.</w:t>
      </w:r>
    </w:p>
  </w:footnote>
  <w:footnote w:id="20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Wortabet,</w:t>
      </w:r>
      <w:r w:rsidRPr="00C72FD6">
        <w:rPr>
          <w:rFonts w:ascii="Palatino Linotype" w:hAnsi="Palatino Linotype"/>
          <w:i/>
          <w:lang w:val="en-GB"/>
        </w:rPr>
        <w:t xml:space="preserve"> RRS: </w:t>
      </w:r>
      <w:r w:rsidRPr="00C72FD6">
        <w:rPr>
          <w:rFonts w:ascii="Palatino Linotype" w:hAnsi="Palatino Linotype"/>
          <w:lang w:val="en-GB"/>
        </w:rPr>
        <w:t>413.</w:t>
      </w:r>
    </w:p>
  </w:footnote>
  <w:footnote w:id="21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 xml:space="preserve">These conflicts are thoroughly examined in </w:t>
      </w:r>
      <w:r w:rsidRPr="00C72FD6">
        <w:rPr>
          <w:rFonts w:ascii="Palatino Linotype" w:hAnsi="Palatino Linotype"/>
          <w:lang w:val="en-GB"/>
        </w:rPr>
        <w:t>Badr, ‘Missions to “Nominal Christians”’: 155-170, 189-210, 225, 232-268.</w:t>
      </w:r>
    </w:p>
  </w:footnote>
  <w:footnote w:id="211">
    <w:p w:rsidR="007F7DD4" w:rsidRPr="00D54F25" w:rsidRDefault="007F7DD4" w:rsidP="001761FF">
      <w:pPr>
        <w:pStyle w:val="FootnoteText"/>
        <w:ind w:left="90" w:hanging="90"/>
        <w:jc w:val="both"/>
        <w:rPr>
          <w:rFonts w:ascii="Palatino Linotype" w:hAnsi="Palatino Linotype"/>
        </w:rPr>
      </w:pPr>
      <w:r w:rsidRPr="00D54F25">
        <w:rPr>
          <w:rStyle w:val="FootnoteReference"/>
          <w:rFonts w:ascii="Palatino Linotype" w:hAnsi="Palatino Linotype"/>
        </w:rPr>
        <w:footnoteRef/>
      </w:r>
      <w:r w:rsidRPr="00D54F25">
        <w:rPr>
          <w:rFonts w:ascii="Palatino Linotype" w:hAnsi="Palatino Linotype"/>
        </w:rPr>
        <w:t xml:space="preserve"> This group can be regarded as a third wave amongst the missionaries, whose ideas and activ</w:t>
      </w:r>
      <w:r>
        <w:rPr>
          <w:rFonts w:ascii="Palatino Linotype" w:hAnsi="Palatino Linotype"/>
        </w:rPr>
        <w:t>ities differed from the pioneering</w:t>
      </w:r>
      <w:r w:rsidRPr="00D54F25">
        <w:rPr>
          <w:rFonts w:ascii="Palatino Linotype" w:hAnsi="Palatino Linotype"/>
        </w:rPr>
        <w:t xml:space="preserve"> first wave during the 1820s and 1830s and the second wave from 1839 to the mid-1850s.</w:t>
      </w:r>
    </w:p>
  </w:footnote>
  <w:footnote w:id="212">
    <w:p w:rsidR="007F7DD4" w:rsidRDefault="007F7DD4" w:rsidP="001761FF">
      <w:pPr>
        <w:pStyle w:val="FootnoteText"/>
        <w:ind w:left="90" w:hanging="90"/>
        <w:jc w:val="both"/>
      </w:pPr>
      <w:r>
        <w:rPr>
          <w:rStyle w:val="FootnoteReference"/>
        </w:rPr>
        <w:footnoteRef/>
      </w:r>
      <w:r>
        <w:t xml:space="preserve"> See </w:t>
      </w:r>
      <w:r w:rsidRPr="0091433B">
        <w:rPr>
          <w:i/>
        </w:rPr>
        <w:t>MH</w:t>
      </w:r>
      <w:r>
        <w:t xml:space="preserve"> (1839): 39-44.</w:t>
      </w:r>
    </w:p>
  </w:footnote>
  <w:footnote w:id="213">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Badr, ‘Missions to “Nominal Christians”’: 119.</w:t>
      </w:r>
    </w:p>
  </w:footnote>
  <w:footnote w:id="214">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This argument has been thoroughly discussed in Makdisi, ‘Reclaiming the Land of the Bible’: 702-707.</w:t>
      </w:r>
    </w:p>
  </w:footnote>
  <w:footnote w:id="215">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Stanza III of Henry Harris Jessup, ‘The Syrian Mission’ (Montrose, Massachusetts, 1 November 1855): YDS: HHJ Box 6: Folder 19.</w:t>
      </w:r>
      <w:r>
        <w:rPr>
          <w:rFonts w:ascii="Palatino Linotype" w:hAnsi="Palatino Linotype"/>
          <w:lang w:val="en-GB"/>
        </w:rPr>
        <w:t xml:space="preserve"> Compare with Lydia Sigourney’s ‘Monody to Mrs. Sarah L. Smith’, which employed Biblical tropes for Syria. Hooker, MSLS: 301-302.</w:t>
      </w:r>
    </w:p>
  </w:footnote>
  <w:footnote w:id="21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(1860): 85.</w:t>
      </w:r>
    </w:p>
  </w:footnote>
  <w:footnote w:id="21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Anderson visited Syria on two occasions: first in 1843 and again in 1854. This latter visit was particularly important in changing the policies and activities of the Syrian Station. The report of his visit was published in</w:t>
      </w:r>
      <w:r w:rsidRPr="00C72FD6">
        <w:rPr>
          <w:rFonts w:ascii="Palatino Linotype" w:hAnsi="Palatino Linotype"/>
          <w:lang w:val="en-GB"/>
        </w:rPr>
        <w:t xml:space="preserve"> </w:t>
      </w:r>
      <w:r w:rsidRPr="00C72FD6">
        <w:rPr>
          <w:rFonts w:ascii="Palatino Linotype" w:hAnsi="Palatino Linotype"/>
          <w:i/>
          <w:lang w:val="en-GB"/>
        </w:rPr>
        <w:t>MSM</w:t>
      </w:r>
      <w:r w:rsidRPr="00C72FD6">
        <w:rPr>
          <w:rFonts w:ascii="Palatino Linotype" w:hAnsi="Palatino Linotype"/>
          <w:lang w:val="en-GB"/>
        </w:rPr>
        <w:t>.</w:t>
      </w:r>
    </w:p>
  </w:footnote>
  <w:footnote w:id="21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MSM</w:t>
      </w:r>
      <w:r w:rsidRPr="00C72FD6">
        <w:rPr>
          <w:rFonts w:ascii="Palatino Linotype" w:hAnsi="Palatino Linotype"/>
          <w:lang w:val="en-GB"/>
        </w:rPr>
        <w:t>: 9.</w:t>
      </w:r>
    </w:p>
  </w:footnote>
  <w:footnote w:id="21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By 1855, the only ordained Syrian Native Pastor was John Wortabet.</w:t>
      </w:r>
    </w:p>
  </w:footnote>
  <w:footnote w:id="22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Bliss, </w:t>
      </w:r>
      <w:r w:rsidRPr="00C72FD6">
        <w:rPr>
          <w:rFonts w:ascii="Palatino Linotype" w:hAnsi="Palatino Linotype"/>
          <w:i/>
          <w:lang w:val="en-GB"/>
        </w:rPr>
        <w:t>RDS</w:t>
      </w:r>
      <w:r w:rsidRPr="00C72FD6">
        <w:rPr>
          <w:rFonts w:ascii="Palatino Linotype" w:hAnsi="Palatino Linotype"/>
          <w:lang w:val="en-GB"/>
        </w:rPr>
        <w:t>: 128.</w:t>
      </w:r>
    </w:p>
  </w:footnote>
  <w:footnote w:id="221">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Pr>
          <w:rFonts w:ascii="Palatino Linotype" w:hAnsi="Palatino Linotype"/>
          <w:lang w:val="en-GB"/>
        </w:rPr>
        <w:t>al-Bustani</w:t>
      </w:r>
      <w:r w:rsidRPr="00C72FD6">
        <w:rPr>
          <w:rFonts w:ascii="Palatino Linotype" w:hAnsi="Palatino Linotype"/>
          <w:lang w:val="en-GB"/>
        </w:rPr>
        <w:t xml:space="preserve">, ‘Letter to Eli Smith’ (Beirut, 6 January 1852; John Wortabet, ‘Letter to Eli Smith’ (Hasbaya, 20 October 20 1854): HHL: </w:t>
      </w:r>
      <w:r>
        <w:rPr>
          <w:rFonts w:ascii="Palatino Linotype" w:hAnsi="Palatino Linotype"/>
          <w:lang w:val="en-GB"/>
        </w:rPr>
        <w:t>ABC 60 (</w:t>
      </w:r>
      <w:r w:rsidRPr="00C72FD6">
        <w:rPr>
          <w:rFonts w:ascii="Palatino Linotype" w:hAnsi="Palatino Linotype"/>
          <w:lang w:val="en-GB"/>
        </w:rPr>
        <w:t>98</w:t>
      </w:r>
      <w:r>
        <w:rPr>
          <w:rFonts w:ascii="Palatino Linotype" w:hAnsi="Palatino Linotype"/>
          <w:lang w:val="en-GB"/>
        </w:rPr>
        <w:t>)</w:t>
      </w:r>
      <w:r w:rsidRPr="00C72FD6">
        <w:rPr>
          <w:rFonts w:ascii="Palatino Linotype" w:hAnsi="Palatino Linotype"/>
          <w:lang w:val="en-GB"/>
        </w:rPr>
        <w:t>; Tibawi, ‘The American Missionaries in Beirut’: 164-169.</w:t>
      </w:r>
    </w:p>
  </w:footnote>
  <w:footnote w:id="222">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al-Bustani</w:t>
      </w:r>
      <w:r w:rsidRPr="00C72FD6">
        <w:rPr>
          <w:rFonts w:ascii="Palatino Linotype" w:hAnsi="Palatino Linotype"/>
          <w:lang w:val="en-GB"/>
        </w:rPr>
        <w:t>, ‘Private: Letter to Eli Smith’ (Beirut, 30 May 1856</w:t>
      </w:r>
      <w:r>
        <w:rPr>
          <w:rFonts w:ascii="Palatino Linotype" w:hAnsi="Palatino Linotype"/>
          <w:lang w:val="en-GB"/>
        </w:rPr>
        <w:t>)</w:t>
      </w:r>
      <w:r w:rsidRPr="00C72FD6">
        <w:rPr>
          <w:rFonts w:ascii="Palatino Linotype" w:hAnsi="Palatino Linotype"/>
          <w:lang w:val="en-GB"/>
        </w:rPr>
        <w:t xml:space="preserve">. Gemmal’s </w:t>
      </w:r>
      <w:r>
        <w:rPr>
          <w:rFonts w:ascii="Palatino Linotype" w:hAnsi="Palatino Linotype"/>
          <w:lang w:val="en-GB"/>
        </w:rPr>
        <w:t xml:space="preserve">problematic </w:t>
      </w:r>
      <w:r w:rsidRPr="00C72FD6">
        <w:rPr>
          <w:rFonts w:ascii="Palatino Linotype" w:hAnsi="Palatino Linotype"/>
          <w:lang w:val="en-GB"/>
        </w:rPr>
        <w:t>position is</w:t>
      </w:r>
      <w:r>
        <w:rPr>
          <w:rFonts w:ascii="Palatino Linotype" w:hAnsi="Palatino Linotype"/>
          <w:lang w:val="en-GB"/>
        </w:rPr>
        <w:t xml:space="preserve"> indirectly mentioned </w:t>
      </w:r>
      <w:r w:rsidRPr="00C72FD6">
        <w:rPr>
          <w:rFonts w:ascii="Palatino Linotype" w:hAnsi="Palatino Linotype"/>
          <w:lang w:val="en-GB"/>
        </w:rPr>
        <w:t>in Wortabet, SS</w:t>
      </w:r>
      <w:r w:rsidRPr="00C72FD6">
        <w:rPr>
          <w:rFonts w:ascii="Palatino Linotype" w:hAnsi="Palatino Linotype"/>
          <w:i/>
          <w:lang w:val="en-GB"/>
        </w:rPr>
        <w:t>: II</w:t>
      </w:r>
      <w:r w:rsidRPr="00C72FD6">
        <w:rPr>
          <w:rFonts w:ascii="Palatino Linotype" w:hAnsi="Palatino Linotype"/>
          <w:lang w:val="en-GB"/>
        </w:rPr>
        <w:t>: 158</w:t>
      </w:r>
    </w:p>
  </w:footnote>
  <w:footnote w:id="223">
    <w:p w:rsidR="007F7DD4" w:rsidRPr="005A57B0"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Pr>
          <w:rFonts w:ascii="Palatino Linotype" w:hAnsi="Palatino Linotype"/>
          <w:lang w:val="en-GB"/>
        </w:rPr>
        <w:t xml:space="preserve"> </w:t>
      </w:r>
      <w:r w:rsidRPr="00C72FD6">
        <w:rPr>
          <w:rFonts w:ascii="Palatino Linotype" w:hAnsi="Palatino Linotype"/>
          <w:lang w:val="en-GB"/>
        </w:rPr>
        <w:t xml:space="preserve">For more on </w:t>
      </w:r>
      <w:r>
        <w:rPr>
          <w:rFonts w:ascii="Palatino Linotype" w:hAnsi="Palatino Linotype"/>
          <w:lang w:val="en-GB"/>
        </w:rPr>
        <w:t>al-Bustani</w:t>
      </w:r>
      <w:r w:rsidRPr="00C72FD6">
        <w:rPr>
          <w:rFonts w:ascii="Palatino Linotype" w:hAnsi="Palatino Linotype"/>
          <w:lang w:val="en-GB"/>
        </w:rPr>
        <w:t xml:space="preserve">’s secular and educational activities see Tibawi, ‘The American Missionaries in Beirut’: 166-174; Sheehi, </w:t>
      </w:r>
      <w:r w:rsidRPr="00C72FD6">
        <w:rPr>
          <w:rFonts w:ascii="Palatino Linotype" w:hAnsi="Palatino Linotype"/>
          <w:i/>
          <w:lang w:val="en-GB"/>
        </w:rPr>
        <w:t>Foundations of Modern Arab Identity</w:t>
      </w:r>
      <w:r w:rsidRPr="00C72FD6">
        <w:rPr>
          <w:rFonts w:ascii="Palatino Linotype" w:hAnsi="Palatino Linotype"/>
          <w:lang w:val="en-GB"/>
        </w:rPr>
        <w:t>:</w:t>
      </w:r>
      <w:r>
        <w:rPr>
          <w:rFonts w:ascii="Palatino Linotype" w:hAnsi="Palatino Linotype"/>
          <w:lang w:val="en-GB"/>
        </w:rPr>
        <w:t xml:space="preserve"> </w:t>
      </w:r>
      <w:r w:rsidRPr="00C72FD6">
        <w:rPr>
          <w:rFonts w:ascii="Palatino Linotype" w:hAnsi="Palatino Linotype"/>
          <w:lang w:val="en-GB"/>
        </w:rPr>
        <w:t xml:space="preserve">15-75. For information on Selim </w:t>
      </w:r>
      <w:r>
        <w:rPr>
          <w:rFonts w:ascii="Palatino Linotype" w:hAnsi="Palatino Linotype"/>
          <w:lang w:val="en-GB"/>
        </w:rPr>
        <w:t>al-Bustani</w:t>
      </w:r>
      <w:r w:rsidRPr="00C72FD6">
        <w:rPr>
          <w:rFonts w:ascii="Palatino Linotype" w:hAnsi="Palatino Linotype"/>
          <w:lang w:val="en-GB"/>
        </w:rPr>
        <w:t xml:space="preserve"> see Sheehi, </w:t>
      </w:r>
      <w:r w:rsidRPr="005A57B0">
        <w:rPr>
          <w:rFonts w:ascii="Palatino Linotype" w:hAnsi="Palatino Linotype"/>
          <w:i/>
          <w:lang w:val="en-GB"/>
        </w:rPr>
        <w:t>Foundations of Modern Arab Identity</w:t>
      </w:r>
      <w:r w:rsidRPr="005A57B0">
        <w:rPr>
          <w:rFonts w:ascii="Palatino Linotype" w:hAnsi="Palatino Linotype"/>
          <w:lang w:val="en-GB"/>
        </w:rPr>
        <w:t>: 76-106.</w:t>
      </w:r>
    </w:p>
  </w:footnote>
  <w:footnote w:id="224">
    <w:p w:rsidR="007F7DD4" w:rsidRPr="005A57B0" w:rsidRDefault="007F7DD4" w:rsidP="001761FF">
      <w:pPr>
        <w:pStyle w:val="FootnoteText"/>
        <w:ind w:left="90" w:hanging="90"/>
        <w:jc w:val="both"/>
        <w:rPr>
          <w:rFonts w:ascii="Palatino Linotype" w:hAnsi="Palatino Linotype"/>
        </w:rPr>
      </w:pPr>
      <w:r w:rsidRPr="005A57B0">
        <w:rPr>
          <w:rStyle w:val="FootnoteReference"/>
          <w:rFonts w:ascii="Palatino Linotype" w:hAnsi="Palatino Linotype"/>
        </w:rPr>
        <w:footnoteRef/>
      </w:r>
      <w:r w:rsidRPr="005A57B0">
        <w:rPr>
          <w:rFonts w:ascii="Palatino Linotype" w:hAnsi="Palatino Linotype"/>
        </w:rPr>
        <w:t xml:space="preserve"> For example, although Assa</w:t>
      </w:r>
      <w:r>
        <w:rPr>
          <w:rFonts w:ascii="Palatino Linotype" w:hAnsi="Palatino Linotype"/>
        </w:rPr>
        <w:t>a</w:t>
      </w:r>
      <w:r w:rsidRPr="005A57B0">
        <w:rPr>
          <w:rFonts w:ascii="Palatino Linotype" w:hAnsi="Palatino Linotype"/>
        </w:rPr>
        <w:t>d Kayat studied with the ABCFM missionaries, an unknow</w:t>
      </w:r>
      <w:r>
        <w:rPr>
          <w:rFonts w:ascii="Palatino Linotype" w:hAnsi="Palatino Linotype"/>
        </w:rPr>
        <w:t>n</w:t>
      </w:r>
      <w:r w:rsidRPr="005A57B0">
        <w:rPr>
          <w:rFonts w:ascii="Palatino Linotype" w:hAnsi="Palatino Linotype"/>
        </w:rPr>
        <w:t xml:space="preserve"> source of tension separated him from the missionaries. Isaac Bird, </w:t>
      </w:r>
      <w:r w:rsidRPr="005A57B0">
        <w:rPr>
          <w:rFonts w:ascii="Palatino Linotype" w:hAnsi="Palatino Linotype"/>
          <w:i/>
        </w:rPr>
        <w:t>Bible Work in Bible Lands; Or, Events in the History of the Syria Mission</w:t>
      </w:r>
      <w:r w:rsidRPr="005A57B0">
        <w:rPr>
          <w:rFonts w:ascii="Palatino Linotype" w:hAnsi="Palatino Linotype"/>
        </w:rPr>
        <w:t xml:space="preserve"> (Philadelphia: Presbyterian Board of Publication, 1872): 271.</w:t>
      </w:r>
    </w:p>
  </w:footnote>
  <w:footnote w:id="225">
    <w:p w:rsidR="007F7DD4" w:rsidRPr="00DD46D4" w:rsidRDefault="007F7DD4" w:rsidP="001761FF">
      <w:pPr>
        <w:pStyle w:val="FootnoteText"/>
        <w:ind w:left="90" w:hanging="90"/>
        <w:jc w:val="both"/>
        <w:rPr>
          <w:rFonts w:ascii="Palatino Linotype" w:hAnsi="Palatino Linotype"/>
        </w:rPr>
      </w:pPr>
      <w:r w:rsidRPr="00DD46D4">
        <w:rPr>
          <w:rStyle w:val="FootnoteReference"/>
          <w:rFonts w:ascii="Palatino Linotype" w:hAnsi="Palatino Linotype"/>
        </w:rPr>
        <w:footnoteRef/>
      </w:r>
      <w:r w:rsidRPr="00DD46D4">
        <w:rPr>
          <w:rFonts w:ascii="Palatino Linotype" w:hAnsi="Palatino Linotype"/>
        </w:rPr>
        <w:t xml:space="preserve"> It is due to this complicated relationship that the Protestant Levantines are not listed in Appendix IV.</w:t>
      </w:r>
    </w:p>
  </w:footnote>
  <w:footnote w:id="226">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n.s., </w:t>
      </w:r>
      <w:r w:rsidRPr="00C72FD6">
        <w:rPr>
          <w:rFonts w:ascii="Palatino Linotype" w:hAnsi="Palatino Linotype"/>
          <w:i/>
          <w:lang w:val="en-GB"/>
        </w:rPr>
        <w:t>Cemetery Record: American Presbyterian Mission.</w:t>
      </w:r>
    </w:p>
  </w:footnote>
  <w:footnote w:id="227">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Smith, ‘Letter to Rev. Trotter, Esq.’ (Beirut, 16 October 1855</w:t>
      </w:r>
      <w:r>
        <w:rPr>
          <w:rFonts w:ascii="Palatino Linotype" w:hAnsi="Palatino Linotype"/>
          <w:lang w:val="en-GB"/>
        </w:rPr>
        <w:t>)</w:t>
      </w:r>
      <w:r w:rsidRPr="00C72FD6">
        <w:rPr>
          <w:rFonts w:ascii="Palatino Linotype" w:hAnsi="Palatino Linotype"/>
          <w:lang w:val="en-GB"/>
        </w:rPr>
        <w:t xml:space="preserve">. For more on the Free Church of Scotland’s mission to Lebanon see J. Robertson Buchanan, ‘The Story of the Lebanon Schools and the Free Church of Scotland’ (n.s, n.s., 1957) and Marten, </w:t>
      </w:r>
      <w:r w:rsidRPr="00C72FD6">
        <w:rPr>
          <w:rFonts w:ascii="Palatino Linotype" w:hAnsi="Palatino Linotype"/>
          <w:i/>
          <w:lang w:val="en-GB"/>
        </w:rPr>
        <w:t>Attempting to Bring the Gospel Home.</w:t>
      </w:r>
      <w:r w:rsidRPr="00C72FD6">
        <w:rPr>
          <w:rFonts w:ascii="Palatino Linotype" w:hAnsi="Palatino Linotype"/>
          <w:lang w:val="en-GB"/>
        </w:rPr>
        <w:t xml:space="preserve"> </w:t>
      </w:r>
    </w:p>
  </w:footnote>
  <w:footnote w:id="228">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See </w:t>
      </w:r>
      <w:r w:rsidRPr="00C72FD6">
        <w:rPr>
          <w:rFonts w:ascii="Palatino Linotype" w:hAnsi="Palatino Linotype"/>
          <w:i/>
          <w:lang w:val="en-GB"/>
        </w:rPr>
        <w:t>MH</w:t>
      </w:r>
      <w:r w:rsidRPr="00C72FD6">
        <w:rPr>
          <w:rFonts w:ascii="Palatino Linotype" w:hAnsi="Palatino Linotype"/>
          <w:lang w:val="en-GB"/>
        </w:rPr>
        <w:t xml:space="preserve"> (1836): 462-463; </w:t>
      </w:r>
      <w:r w:rsidRPr="00C72FD6">
        <w:rPr>
          <w:rFonts w:ascii="Palatino Linotype" w:hAnsi="Palatino Linotype"/>
          <w:i/>
          <w:lang w:val="en-GB"/>
        </w:rPr>
        <w:t>MH</w:t>
      </w:r>
      <w:r w:rsidRPr="00C72FD6">
        <w:rPr>
          <w:rFonts w:ascii="Palatino Linotype" w:hAnsi="Palatino Linotype"/>
          <w:lang w:val="en-GB"/>
        </w:rPr>
        <w:t xml:space="preserve"> (1842): 362-364; ABCFM, </w:t>
      </w:r>
      <w:r w:rsidRPr="00C72FD6">
        <w:rPr>
          <w:rFonts w:ascii="Palatino Linotype" w:hAnsi="Palatino Linotype"/>
          <w:i/>
          <w:lang w:val="en-GB"/>
        </w:rPr>
        <w:t>Station Report</w:t>
      </w:r>
      <w:r w:rsidRPr="00C72FD6">
        <w:rPr>
          <w:rFonts w:ascii="Palatino Linotype" w:hAnsi="Palatino Linotype"/>
          <w:lang w:val="en-GB"/>
        </w:rPr>
        <w:t xml:space="preserve"> (Mount Lebanon, 1845).</w:t>
      </w:r>
    </w:p>
  </w:footnote>
  <w:footnote w:id="229">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Tibawi, ‘The American Missionaries in Beirut: 159; </w:t>
      </w:r>
      <w:r w:rsidRPr="00C72FD6">
        <w:rPr>
          <w:rFonts w:ascii="Palatino Linotype" w:hAnsi="Palatino Linotype"/>
          <w:i/>
          <w:lang w:val="en-GB"/>
        </w:rPr>
        <w:t>MH</w:t>
      </w:r>
      <w:r w:rsidRPr="00C72FD6">
        <w:rPr>
          <w:rFonts w:ascii="Palatino Linotype" w:hAnsi="Palatino Linotype"/>
          <w:lang w:val="en-GB"/>
        </w:rPr>
        <w:t xml:space="preserve"> (1845): 14-21; </w:t>
      </w:r>
      <w:r w:rsidRPr="00C72FD6">
        <w:rPr>
          <w:rFonts w:ascii="Palatino Linotype" w:hAnsi="Palatino Linotype"/>
          <w:i/>
          <w:lang w:val="en-GB"/>
        </w:rPr>
        <w:t>MH</w:t>
      </w:r>
      <w:r w:rsidRPr="00C72FD6">
        <w:rPr>
          <w:rFonts w:ascii="Palatino Linotype" w:hAnsi="Palatino Linotype"/>
          <w:lang w:val="en-GB"/>
        </w:rPr>
        <w:t xml:space="preserve"> (1847): 184-188; </w:t>
      </w:r>
      <w:r w:rsidRPr="00C72FD6">
        <w:rPr>
          <w:rFonts w:ascii="Palatino Linotype" w:hAnsi="Palatino Linotype"/>
          <w:i/>
          <w:lang w:val="en-GB"/>
        </w:rPr>
        <w:t>MH</w:t>
      </w:r>
      <w:r w:rsidRPr="00C72FD6">
        <w:rPr>
          <w:rFonts w:ascii="Palatino Linotype" w:hAnsi="Palatino Linotype"/>
          <w:lang w:val="en-GB"/>
        </w:rPr>
        <w:t xml:space="preserve"> (1849): 324-325; </w:t>
      </w:r>
      <w:r w:rsidRPr="00C72FD6">
        <w:rPr>
          <w:rFonts w:ascii="Palatino Linotype" w:hAnsi="Palatino Linotype"/>
          <w:i/>
          <w:lang w:val="en-GB"/>
        </w:rPr>
        <w:t>MH</w:t>
      </w:r>
      <w:r w:rsidRPr="00C72FD6">
        <w:rPr>
          <w:rFonts w:ascii="Palatino Linotype" w:hAnsi="Palatino Linotype"/>
          <w:lang w:val="en-GB"/>
        </w:rPr>
        <w:t xml:space="preserve"> (1859): 76-77; </w:t>
      </w:r>
      <w:r w:rsidRPr="00C72FD6">
        <w:rPr>
          <w:rFonts w:ascii="Palatino Linotype" w:hAnsi="Palatino Linotype"/>
          <w:i/>
          <w:lang w:val="en-GB"/>
        </w:rPr>
        <w:t xml:space="preserve">MH </w:t>
      </w:r>
      <w:r w:rsidRPr="00C72FD6">
        <w:rPr>
          <w:rFonts w:ascii="Palatino Linotype" w:hAnsi="Palatino Linotype"/>
          <w:lang w:val="en-GB"/>
        </w:rPr>
        <w:t>(1859): 261-263.</w:t>
      </w:r>
    </w:p>
  </w:footnote>
  <w:footnote w:id="230">
    <w:p w:rsidR="007F7DD4" w:rsidRPr="00C72FD6" w:rsidRDefault="007F7DD4" w:rsidP="001761FF">
      <w:pPr>
        <w:pStyle w:val="FootnoteText"/>
        <w:ind w:left="90" w:hanging="90"/>
        <w:jc w:val="both"/>
        <w:rPr>
          <w:rFonts w:ascii="Palatino Linotype" w:hAnsi="Palatino Linotype"/>
          <w:lang w:val="en-GB"/>
        </w:rPr>
      </w:pPr>
      <w:r w:rsidRPr="00C72FD6">
        <w:rPr>
          <w:rStyle w:val="FootnoteReference"/>
          <w:rFonts w:ascii="Palatino Linotype" w:hAnsi="Palatino Linotype"/>
          <w:lang w:val="en-GB"/>
        </w:rPr>
        <w:footnoteRef/>
      </w:r>
      <w:r w:rsidRPr="00C72FD6">
        <w:rPr>
          <w:rFonts w:ascii="Palatino Linotype" w:hAnsi="Palatino Linotype"/>
          <w:lang w:val="en-GB"/>
        </w:rPr>
        <w:t xml:space="preserve"> </w:t>
      </w:r>
      <w:r w:rsidRPr="00C72FD6">
        <w:rPr>
          <w:rFonts w:ascii="Palatino Linotype" w:hAnsi="Palatino Linotype"/>
          <w:i/>
          <w:lang w:val="en-GB"/>
        </w:rPr>
        <w:t>MH</w:t>
      </w:r>
      <w:r w:rsidRPr="00C72FD6">
        <w:rPr>
          <w:rFonts w:ascii="Palatino Linotype" w:hAnsi="Palatino Linotype"/>
          <w:lang w:val="en-GB"/>
        </w:rPr>
        <w:t xml:space="preserve"> (1845): 14-21; Hannie Wortabet, ‘Letter to Eli Smith’ (Hasbaya, 7 October 1852): HHL: </w:t>
      </w:r>
      <w:r>
        <w:rPr>
          <w:rFonts w:ascii="Palatino Linotype" w:hAnsi="Palatino Linotype"/>
          <w:lang w:val="en-GB"/>
        </w:rPr>
        <w:t>ABC 60 (</w:t>
      </w:r>
      <w:r w:rsidRPr="00C72FD6">
        <w:rPr>
          <w:rFonts w:ascii="Palatino Linotype" w:hAnsi="Palatino Linotype"/>
          <w:lang w:val="en-GB"/>
        </w:rPr>
        <w:t>98</w:t>
      </w:r>
      <w:r>
        <w:rPr>
          <w:rFonts w:ascii="Palatino Linotype" w:hAnsi="Palatino Linotype"/>
          <w:lang w:val="en-GB"/>
        </w:rPr>
        <w:t>)</w:t>
      </w:r>
      <w:r w:rsidRPr="00C72FD6">
        <w:rPr>
          <w:rFonts w:ascii="Palatino Linotype" w:hAnsi="Palatino Linotype"/>
          <w:lang w:val="en-GB"/>
        </w:rPr>
        <w:t xml:space="preserve">; Catherine DeForest, ‘Letter to Eli Smith’ (Beirut, 15 May 1844): HHL: </w:t>
      </w:r>
      <w:r>
        <w:rPr>
          <w:rFonts w:ascii="Palatino Linotype" w:hAnsi="Palatino Linotype"/>
          <w:lang w:val="en-GB"/>
        </w:rPr>
        <w:t>ABC 60 (</w:t>
      </w:r>
      <w:r w:rsidRPr="00C72FD6">
        <w:rPr>
          <w:rFonts w:ascii="Palatino Linotype" w:hAnsi="Palatino Linotype"/>
          <w:lang w:val="en-GB"/>
        </w:rPr>
        <w:t>17</w:t>
      </w:r>
      <w:r>
        <w:rPr>
          <w:rFonts w:ascii="Palatino Linotype" w:hAnsi="Palatino Linotype"/>
          <w:lang w:val="en-GB"/>
        </w:rPr>
        <w:t>)</w:t>
      </w:r>
      <w:r w:rsidRPr="00C72FD6">
        <w:rPr>
          <w:rFonts w:ascii="Palatino Linotype" w:hAnsi="Palatino Linotype"/>
          <w:lang w:val="en-GB"/>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24669CE"/>
    <w:multiLevelType w:val="hybridMultilevel"/>
    <w:tmpl w:val="BCA0C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E2E3567"/>
    <w:multiLevelType w:val="multilevel"/>
    <w:tmpl w:val="D93E99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780C392B"/>
    <w:multiLevelType w:val="hybridMultilevel"/>
    <w:tmpl w:val="D20CA59A"/>
    <w:lvl w:ilvl="0" w:tplc="42D662FC">
      <w:start w:val="1835"/>
      <w:numFmt w:val="bullet"/>
      <w:lvlText w:val=""/>
      <w:lvlJc w:val="left"/>
      <w:pPr>
        <w:tabs>
          <w:tab w:val="num" w:pos="420"/>
        </w:tabs>
        <w:ind w:left="420" w:hanging="360"/>
      </w:pPr>
      <w:rPr>
        <w:rFonts w:ascii="Symbol" w:eastAsia="Times New Roman" w:hAnsi="Symbol"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num w:numId="1">
    <w:abstractNumId w:val="0"/>
  </w:num>
  <w:num w:numId="2">
    <w:abstractNumId w:val="2"/>
  </w:num>
  <w:num w:numId="3">
    <w:abstractNumId w:val="1"/>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inkAnnotations="0"/>
  <w:doNotTrackMoves/>
  <w:defaultTabStop w:val="709"/>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savePreviewPicture/>
  <w:hdrShapeDefaults>
    <o:shapedefaults v:ext="edit" spidmax="487426">
      <o:colormenu v:ext="edit" fillcolor="none [4]" strokecolor="none [1]" shadowcolor="none [2]"/>
    </o:shapedefaults>
  </w:hdrShapeDefaults>
  <w:footnotePr>
    <w:numRestart w:val="eachSect"/>
    <w:footnote w:id="0"/>
    <w:footnote w:id="1"/>
  </w:footnotePr>
  <w:endnotePr>
    <w:endnote w:id="0"/>
    <w:endnote w:id="1"/>
  </w:endnotePr>
  <w:compat>
    <w:spaceForUL/>
    <w:balanceSingleByteDoubleByteWidth/>
    <w:doNotLeaveBackslashAlone/>
    <w:ulTrailSpace/>
    <w:doNotExpandShiftReturn/>
    <w:adjustLineHeightInTable/>
    <w:doNotUseHTMLParagraphAutoSpacing/>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97962"/>
    <w:rsid w:val="000014D9"/>
    <w:rsid w:val="00002243"/>
    <w:rsid w:val="000044C8"/>
    <w:rsid w:val="00012956"/>
    <w:rsid w:val="000132E5"/>
    <w:rsid w:val="00017439"/>
    <w:rsid w:val="000207AA"/>
    <w:rsid w:val="00020F51"/>
    <w:rsid w:val="00020FA3"/>
    <w:rsid w:val="00024E30"/>
    <w:rsid w:val="00030D8F"/>
    <w:rsid w:val="00031E63"/>
    <w:rsid w:val="00032163"/>
    <w:rsid w:val="000349FA"/>
    <w:rsid w:val="0004296A"/>
    <w:rsid w:val="00043083"/>
    <w:rsid w:val="00043A1C"/>
    <w:rsid w:val="000478EC"/>
    <w:rsid w:val="00047F86"/>
    <w:rsid w:val="000501FE"/>
    <w:rsid w:val="00052874"/>
    <w:rsid w:val="00053B19"/>
    <w:rsid w:val="00053DC3"/>
    <w:rsid w:val="00054452"/>
    <w:rsid w:val="00054735"/>
    <w:rsid w:val="0005578F"/>
    <w:rsid w:val="0005610C"/>
    <w:rsid w:val="00057392"/>
    <w:rsid w:val="00062D21"/>
    <w:rsid w:val="00063B6B"/>
    <w:rsid w:val="00063DB5"/>
    <w:rsid w:val="00064D16"/>
    <w:rsid w:val="00066A2A"/>
    <w:rsid w:val="00066F0E"/>
    <w:rsid w:val="00070172"/>
    <w:rsid w:val="00070FE2"/>
    <w:rsid w:val="00071C7E"/>
    <w:rsid w:val="00072C1B"/>
    <w:rsid w:val="000801A4"/>
    <w:rsid w:val="0008080B"/>
    <w:rsid w:val="00083906"/>
    <w:rsid w:val="00084210"/>
    <w:rsid w:val="00084683"/>
    <w:rsid w:val="0008580D"/>
    <w:rsid w:val="000872AF"/>
    <w:rsid w:val="000922ED"/>
    <w:rsid w:val="00097307"/>
    <w:rsid w:val="00097951"/>
    <w:rsid w:val="000A0273"/>
    <w:rsid w:val="000A46AE"/>
    <w:rsid w:val="000A68A0"/>
    <w:rsid w:val="000A6E48"/>
    <w:rsid w:val="000B4C26"/>
    <w:rsid w:val="000C2A5C"/>
    <w:rsid w:val="000D0774"/>
    <w:rsid w:val="000D1139"/>
    <w:rsid w:val="000D289B"/>
    <w:rsid w:val="000D3CF2"/>
    <w:rsid w:val="000D4383"/>
    <w:rsid w:val="000D74B7"/>
    <w:rsid w:val="000E1FB5"/>
    <w:rsid w:val="000E24A9"/>
    <w:rsid w:val="000E418E"/>
    <w:rsid w:val="000F2E95"/>
    <w:rsid w:val="000F3E21"/>
    <w:rsid w:val="000F4150"/>
    <w:rsid w:val="000F4A54"/>
    <w:rsid w:val="0010284D"/>
    <w:rsid w:val="001052BA"/>
    <w:rsid w:val="00105E36"/>
    <w:rsid w:val="0010640E"/>
    <w:rsid w:val="0010673A"/>
    <w:rsid w:val="00107585"/>
    <w:rsid w:val="001100AC"/>
    <w:rsid w:val="00110650"/>
    <w:rsid w:val="001138B8"/>
    <w:rsid w:val="001155DD"/>
    <w:rsid w:val="00116B80"/>
    <w:rsid w:val="00117A61"/>
    <w:rsid w:val="00121D0F"/>
    <w:rsid w:val="00125633"/>
    <w:rsid w:val="001259B3"/>
    <w:rsid w:val="001259B9"/>
    <w:rsid w:val="00130AB8"/>
    <w:rsid w:val="001349EA"/>
    <w:rsid w:val="00140BB9"/>
    <w:rsid w:val="00142AF3"/>
    <w:rsid w:val="001449E1"/>
    <w:rsid w:val="00144F55"/>
    <w:rsid w:val="00144F58"/>
    <w:rsid w:val="00146C80"/>
    <w:rsid w:val="001479E8"/>
    <w:rsid w:val="00151469"/>
    <w:rsid w:val="001514D3"/>
    <w:rsid w:val="00151FED"/>
    <w:rsid w:val="00153E7E"/>
    <w:rsid w:val="00154449"/>
    <w:rsid w:val="00155708"/>
    <w:rsid w:val="001568ED"/>
    <w:rsid w:val="001607FB"/>
    <w:rsid w:val="00161D1E"/>
    <w:rsid w:val="00163682"/>
    <w:rsid w:val="001638ED"/>
    <w:rsid w:val="001663D0"/>
    <w:rsid w:val="00170C6F"/>
    <w:rsid w:val="00172653"/>
    <w:rsid w:val="00175154"/>
    <w:rsid w:val="001772DD"/>
    <w:rsid w:val="0018034F"/>
    <w:rsid w:val="001805CF"/>
    <w:rsid w:val="001812F1"/>
    <w:rsid w:val="001908CC"/>
    <w:rsid w:val="00191109"/>
    <w:rsid w:val="001A23D2"/>
    <w:rsid w:val="001B0710"/>
    <w:rsid w:val="001B0AFB"/>
    <w:rsid w:val="001B152F"/>
    <w:rsid w:val="001B1888"/>
    <w:rsid w:val="001B1922"/>
    <w:rsid w:val="001B2CBA"/>
    <w:rsid w:val="001B4007"/>
    <w:rsid w:val="001B45B6"/>
    <w:rsid w:val="001B74B3"/>
    <w:rsid w:val="001C6E29"/>
    <w:rsid w:val="001D31A7"/>
    <w:rsid w:val="001D55C5"/>
    <w:rsid w:val="001D5809"/>
    <w:rsid w:val="001D5E79"/>
    <w:rsid w:val="001D715B"/>
    <w:rsid w:val="001D71EC"/>
    <w:rsid w:val="001D7DBC"/>
    <w:rsid w:val="001E0A69"/>
    <w:rsid w:val="001E0E0C"/>
    <w:rsid w:val="001E2A6B"/>
    <w:rsid w:val="001E3C3B"/>
    <w:rsid w:val="001E428E"/>
    <w:rsid w:val="001E4E5C"/>
    <w:rsid w:val="001E53A5"/>
    <w:rsid w:val="001E63CA"/>
    <w:rsid w:val="001F07BD"/>
    <w:rsid w:val="001F33DD"/>
    <w:rsid w:val="001F3952"/>
    <w:rsid w:val="001F3F63"/>
    <w:rsid w:val="00210E64"/>
    <w:rsid w:val="002133CF"/>
    <w:rsid w:val="0021368A"/>
    <w:rsid w:val="00215269"/>
    <w:rsid w:val="002211A4"/>
    <w:rsid w:val="00223907"/>
    <w:rsid w:val="0022694D"/>
    <w:rsid w:val="00227073"/>
    <w:rsid w:val="0022796C"/>
    <w:rsid w:val="00227E11"/>
    <w:rsid w:val="00230137"/>
    <w:rsid w:val="00230F9C"/>
    <w:rsid w:val="00232A7C"/>
    <w:rsid w:val="00234171"/>
    <w:rsid w:val="00236648"/>
    <w:rsid w:val="002370DF"/>
    <w:rsid w:val="00237DE0"/>
    <w:rsid w:val="00242993"/>
    <w:rsid w:val="00242A31"/>
    <w:rsid w:val="00242DAE"/>
    <w:rsid w:val="00244EFB"/>
    <w:rsid w:val="00245B32"/>
    <w:rsid w:val="002467E5"/>
    <w:rsid w:val="00246A20"/>
    <w:rsid w:val="00253742"/>
    <w:rsid w:val="002558C9"/>
    <w:rsid w:val="00261BC0"/>
    <w:rsid w:val="002649B9"/>
    <w:rsid w:val="002669FE"/>
    <w:rsid w:val="00272E6D"/>
    <w:rsid w:val="0027545D"/>
    <w:rsid w:val="002775A4"/>
    <w:rsid w:val="00282E9D"/>
    <w:rsid w:val="00284B95"/>
    <w:rsid w:val="00286EA1"/>
    <w:rsid w:val="002908F0"/>
    <w:rsid w:val="00291CCE"/>
    <w:rsid w:val="0029225A"/>
    <w:rsid w:val="00292E7F"/>
    <w:rsid w:val="0029549D"/>
    <w:rsid w:val="00297962"/>
    <w:rsid w:val="002A153C"/>
    <w:rsid w:val="002A2495"/>
    <w:rsid w:val="002A282A"/>
    <w:rsid w:val="002A292B"/>
    <w:rsid w:val="002A30FB"/>
    <w:rsid w:val="002A40FC"/>
    <w:rsid w:val="002A667C"/>
    <w:rsid w:val="002A72C2"/>
    <w:rsid w:val="002A747D"/>
    <w:rsid w:val="002B3B2F"/>
    <w:rsid w:val="002B3F18"/>
    <w:rsid w:val="002B6041"/>
    <w:rsid w:val="002C2A42"/>
    <w:rsid w:val="002C6130"/>
    <w:rsid w:val="002C7325"/>
    <w:rsid w:val="002C7F38"/>
    <w:rsid w:val="002D07A8"/>
    <w:rsid w:val="002D3E71"/>
    <w:rsid w:val="002D6CE9"/>
    <w:rsid w:val="002E110C"/>
    <w:rsid w:val="002E13AB"/>
    <w:rsid w:val="002E1B53"/>
    <w:rsid w:val="002E2ECC"/>
    <w:rsid w:val="002E61D9"/>
    <w:rsid w:val="002E6992"/>
    <w:rsid w:val="002E6D60"/>
    <w:rsid w:val="002E6DFD"/>
    <w:rsid w:val="002F1655"/>
    <w:rsid w:val="002F248F"/>
    <w:rsid w:val="002F2AF9"/>
    <w:rsid w:val="002F33BB"/>
    <w:rsid w:val="002F4D65"/>
    <w:rsid w:val="003012E2"/>
    <w:rsid w:val="00302143"/>
    <w:rsid w:val="00304D79"/>
    <w:rsid w:val="003120AA"/>
    <w:rsid w:val="003126D6"/>
    <w:rsid w:val="0031395B"/>
    <w:rsid w:val="00320ABB"/>
    <w:rsid w:val="00321666"/>
    <w:rsid w:val="00323BBF"/>
    <w:rsid w:val="00323BC1"/>
    <w:rsid w:val="00323EE0"/>
    <w:rsid w:val="00325733"/>
    <w:rsid w:val="00330BFC"/>
    <w:rsid w:val="003349D4"/>
    <w:rsid w:val="00335C4B"/>
    <w:rsid w:val="00336674"/>
    <w:rsid w:val="003372BE"/>
    <w:rsid w:val="0034266A"/>
    <w:rsid w:val="00344C62"/>
    <w:rsid w:val="00346081"/>
    <w:rsid w:val="003502E7"/>
    <w:rsid w:val="003505B7"/>
    <w:rsid w:val="00351113"/>
    <w:rsid w:val="00354F4A"/>
    <w:rsid w:val="00355AD3"/>
    <w:rsid w:val="003600DA"/>
    <w:rsid w:val="00361FAC"/>
    <w:rsid w:val="00362023"/>
    <w:rsid w:val="003628C7"/>
    <w:rsid w:val="00363040"/>
    <w:rsid w:val="003630A7"/>
    <w:rsid w:val="003640A4"/>
    <w:rsid w:val="00365540"/>
    <w:rsid w:val="00367323"/>
    <w:rsid w:val="00370779"/>
    <w:rsid w:val="00374496"/>
    <w:rsid w:val="00374A77"/>
    <w:rsid w:val="00377AA0"/>
    <w:rsid w:val="00381FDF"/>
    <w:rsid w:val="0038679D"/>
    <w:rsid w:val="00390734"/>
    <w:rsid w:val="00391B91"/>
    <w:rsid w:val="00393B6A"/>
    <w:rsid w:val="003979D1"/>
    <w:rsid w:val="003A49D1"/>
    <w:rsid w:val="003A51AD"/>
    <w:rsid w:val="003A5471"/>
    <w:rsid w:val="003A55BE"/>
    <w:rsid w:val="003A5C7F"/>
    <w:rsid w:val="003A60D0"/>
    <w:rsid w:val="003B0941"/>
    <w:rsid w:val="003B1985"/>
    <w:rsid w:val="003B1BAE"/>
    <w:rsid w:val="003B22B4"/>
    <w:rsid w:val="003B4D8B"/>
    <w:rsid w:val="003C2E11"/>
    <w:rsid w:val="003C3DA6"/>
    <w:rsid w:val="003C4D3C"/>
    <w:rsid w:val="003D532D"/>
    <w:rsid w:val="003D7AFF"/>
    <w:rsid w:val="003E2215"/>
    <w:rsid w:val="003E491D"/>
    <w:rsid w:val="003E4BFB"/>
    <w:rsid w:val="003E5162"/>
    <w:rsid w:val="003E64DF"/>
    <w:rsid w:val="003F14EB"/>
    <w:rsid w:val="003F3103"/>
    <w:rsid w:val="003F450A"/>
    <w:rsid w:val="003F5E06"/>
    <w:rsid w:val="003F67E7"/>
    <w:rsid w:val="00401787"/>
    <w:rsid w:val="00401D42"/>
    <w:rsid w:val="0040415A"/>
    <w:rsid w:val="00406CF9"/>
    <w:rsid w:val="00407E46"/>
    <w:rsid w:val="0041484A"/>
    <w:rsid w:val="0041698C"/>
    <w:rsid w:val="00421FE0"/>
    <w:rsid w:val="00422143"/>
    <w:rsid w:val="004239E7"/>
    <w:rsid w:val="004270D4"/>
    <w:rsid w:val="004271E0"/>
    <w:rsid w:val="00432616"/>
    <w:rsid w:val="00437162"/>
    <w:rsid w:val="00437A03"/>
    <w:rsid w:val="004452C3"/>
    <w:rsid w:val="00446579"/>
    <w:rsid w:val="00450DA2"/>
    <w:rsid w:val="004555F6"/>
    <w:rsid w:val="00455EE8"/>
    <w:rsid w:val="004577F7"/>
    <w:rsid w:val="004616AD"/>
    <w:rsid w:val="0046233E"/>
    <w:rsid w:val="00463691"/>
    <w:rsid w:val="00463B4D"/>
    <w:rsid w:val="0046572D"/>
    <w:rsid w:val="00465942"/>
    <w:rsid w:val="00466051"/>
    <w:rsid w:val="004660FD"/>
    <w:rsid w:val="004666C3"/>
    <w:rsid w:val="00467643"/>
    <w:rsid w:val="00467B25"/>
    <w:rsid w:val="00473431"/>
    <w:rsid w:val="00473EC1"/>
    <w:rsid w:val="00477FF9"/>
    <w:rsid w:val="00480D42"/>
    <w:rsid w:val="00481589"/>
    <w:rsid w:val="00483017"/>
    <w:rsid w:val="0048642F"/>
    <w:rsid w:val="00486442"/>
    <w:rsid w:val="0049047B"/>
    <w:rsid w:val="0049370C"/>
    <w:rsid w:val="00494710"/>
    <w:rsid w:val="00495493"/>
    <w:rsid w:val="00495B28"/>
    <w:rsid w:val="004A0263"/>
    <w:rsid w:val="004A381C"/>
    <w:rsid w:val="004A5C3D"/>
    <w:rsid w:val="004B1D15"/>
    <w:rsid w:val="004B7B3B"/>
    <w:rsid w:val="004B7BC2"/>
    <w:rsid w:val="004C000E"/>
    <w:rsid w:val="004C3E86"/>
    <w:rsid w:val="004C5A8B"/>
    <w:rsid w:val="004C6DDB"/>
    <w:rsid w:val="004C6FEC"/>
    <w:rsid w:val="004C72F0"/>
    <w:rsid w:val="004D24A4"/>
    <w:rsid w:val="004D2EB4"/>
    <w:rsid w:val="004D6B46"/>
    <w:rsid w:val="004D72CA"/>
    <w:rsid w:val="004E1CA6"/>
    <w:rsid w:val="004E2EB1"/>
    <w:rsid w:val="004E4563"/>
    <w:rsid w:val="004E5020"/>
    <w:rsid w:val="004E50EB"/>
    <w:rsid w:val="004E5184"/>
    <w:rsid w:val="004E7716"/>
    <w:rsid w:val="004F25DA"/>
    <w:rsid w:val="004F31B4"/>
    <w:rsid w:val="004F4AA5"/>
    <w:rsid w:val="004F4F05"/>
    <w:rsid w:val="0050032D"/>
    <w:rsid w:val="00501BD6"/>
    <w:rsid w:val="00501DDC"/>
    <w:rsid w:val="0050286F"/>
    <w:rsid w:val="00504BC4"/>
    <w:rsid w:val="0050652A"/>
    <w:rsid w:val="00507BB0"/>
    <w:rsid w:val="00510B02"/>
    <w:rsid w:val="00512142"/>
    <w:rsid w:val="005134F1"/>
    <w:rsid w:val="005137C2"/>
    <w:rsid w:val="00514E97"/>
    <w:rsid w:val="00515C51"/>
    <w:rsid w:val="0051687E"/>
    <w:rsid w:val="00520A02"/>
    <w:rsid w:val="005323EE"/>
    <w:rsid w:val="00533054"/>
    <w:rsid w:val="00533238"/>
    <w:rsid w:val="00536D9A"/>
    <w:rsid w:val="00541AE8"/>
    <w:rsid w:val="005430A4"/>
    <w:rsid w:val="0055056F"/>
    <w:rsid w:val="00552438"/>
    <w:rsid w:val="0055652E"/>
    <w:rsid w:val="00556C7E"/>
    <w:rsid w:val="00561615"/>
    <w:rsid w:val="00564DF9"/>
    <w:rsid w:val="005652CF"/>
    <w:rsid w:val="0056556A"/>
    <w:rsid w:val="0056575D"/>
    <w:rsid w:val="005662DA"/>
    <w:rsid w:val="0056711E"/>
    <w:rsid w:val="005718B4"/>
    <w:rsid w:val="00586D63"/>
    <w:rsid w:val="0059021D"/>
    <w:rsid w:val="00591BB5"/>
    <w:rsid w:val="00593CE4"/>
    <w:rsid w:val="00595DAB"/>
    <w:rsid w:val="0059782D"/>
    <w:rsid w:val="0059797D"/>
    <w:rsid w:val="005A06CE"/>
    <w:rsid w:val="005A0917"/>
    <w:rsid w:val="005A0A0F"/>
    <w:rsid w:val="005A0C53"/>
    <w:rsid w:val="005A368D"/>
    <w:rsid w:val="005A3A47"/>
    <w:rsid w:val="005A5703"/>
    <w:rsid w:val="005A57B0"/>
    <w:rsid w:val="005A66EF"/>
    <w:rsid w:val="005A6F80"/>
    <w:rsid w:val="005B2293"/>
    <w:rsid w:val="005B4394"/>
    <w:rsid w:val="005B7B27"/>
    <w:rsid w:val="005C0702"/>
    <w:rsid w:val="005C0976"/>
    <w:rsid w:val="005C09E9"/>
    <w:rsid w:val="005C0C55"/>
    <w:rsid w:val="005C11C5"/>
    <w:rsid w:val="005C6960"/>
    <w:rsid w:val="005D1565"/>
    <w:rsid w:val="005D2206"/>
    <w:rsid w:val="005D39B1"/>
    <w:rsid w:val="005D6C48"/>
    <w:rsid w:val="005E01FF"/>
    <w:rsid w:val="005E19B6"/>
    <w:rsid w:val="005E1DEE"/>
    <w:rsid w:val="005E4554"/>
    <w:rsid w:val="005E7098"/>
    <w:rsid w:val="005E7EFF"/>
    <w:rsid w:val="005F17D0"/>
    <w:rsid w:val="005F1879"/>
    <w:rsid w:val="005F1E6E"/>
    <w:rsid w:val="005F2F1D"/>
    <w:rsid w:val="005F4AE4"/>
    <w:rsid w:val="005F6DDF"/>
    <w:rsid w:val="005F77EB"/>
    <w:rsid w:val="00602AF2"/>
    <w:rsid w:val="00607807"/>
    <w:rsid w:val="00611977"/>
    <w:rsid w:val="006130A2"/>
    <w:rsid w:val="006143A7"/>
    <w:rsid w:val="0061504A"/>
    <w:rsid w:val="00615FBD"/>
    <w:rsid w:val="00620429"/>
    <w:rsid w:val="00620D9C"/>
    <w:rsid w:val="00621DA3"/>
    <w:rsid w:val="0062237A"/>
    <w:rsid w:val="006226A3"/>
    <w:rsid w:val="00622CB0"/>
    <w:rsid w:val="006245D2"/>
    <w:rsid w:val="006267BA"/>
    <w:rsid w:val="00627B1E"/>
    <w:rsid w:val="006350BE"/>
    <w:rsid w:val="006377D4"/>
    <w:rsid w:val="0064132E"/>
    <w:rsid w:val="00641AB7"/>
    <w:rsid w:val="006476A1"/>
    <w:rsid w:val="006508C2"/>
    <w:rsid w:val="00651241"/>
    <w:rsid w:val="00651E84"/>
    <w:rsid w:val="0065348C"/>
    <w:rsid w:val="00653B0B"/>
    <w:rsid w:val="0065796E"/>
    <w:rsid w:val="0066136D"/>
    <w:rsid w:val="00665492"/>
    <w:rsid w:val="0067275A"/>
    <w:rsid w:val="00674B18"/>
    <w:rsid w:val="00685655"/>
    <w:rsid w:val="00687598"/>
    <w:rsid w:val="00687AD3"/>
    <w:rsid w:val="00690B8B"/>
    <w:rsid w:val="006A123F"/>
    <w:rsid w:val="006A28C9"/>
    <w:rsid w:val="006A40F5"/>
    <w:rsid w:val="006A4601"/>
    <w:rsid w:val="006B1D26"/>
    <w:rsid w:val="006B3049"/>
    <w:rsid w:val="006B414D"/>
    <w:rsid w:val="006B5831"/>
    <w:rsid w:val="006B5AA6"/>
    <w:rsid w:val="006B6692"/>
    <w:rsid w:val="006C2FEA"/>
    <w:rsid w:val="006C6220"/>
    <w:rsid w:val="006C7E3F"/>
    <w:rsid w:val="006D16CE"/>
    <w:rsid w:val="006D1E0D"/>
    <w:rsid w:val="006D1E5C"/>
    <w:rsid w:val="006D35AA"/>
    <w:rsid w:val="006D51A8"/>
    <w:rsid w:val="006D7270"/>
    <w:rsid w:val="006E3BDA"/>
    <w:rsid w:val="006E6A7D"/>
    <w:rsid w:val="006E7A32"/>
    <w:rsid w:val="006E7E28"/>
    <w:rsid w:val="006F152C"/>
    <w:rsid w:val="006F237C"/>
    <w:rsid w:val="006F260A"/>
    <w:rsid w:val="006F2A83"/>
    <w:rsid w:val="006F40A8"/>
    <w:rsid w:val="006F60AB"/>
    <w:rsid w:val="006F7880"/>
    <w:rsid w:val="00700ABF"/>
    <w:rsid w:val="00705E52"/>
    <w:rsid w:val="00705F6F"/>
    <w:rsid w:val="00711B06"/>
    <w:rsid w:val="00712CAE"/>
    <w:rsid w:val="00714FD3"/>
    <w:rsid w:val="007175B3"/>
    <w:rsid w:val="007227BC"/>
    <w:rsid w:val="00723DAA"/>
    <w:rsid w:val="007269EF"/>
    <w:rsid w:val="0072751E"/>
    <w:rsid w:val="00733070"/>
    <w:rsid w:val="00733B51"/>
    <w:rsid w:val="00734AE3"/>
    <w:rsid w:val="00736ED6"/>
    <w:rsid w:val="00744875"/>
    <w:rsid w:val="007452CE"/>
    <w:rsid w:val="00746BE8"/>
    <w:rsid w:val="00746C71"/>
    <w:rsid w:val="007525A0"/>
    <w:rsid w:val="00754720"/>
    <w:rsid w:val="00754F82"/>
    <w:rsid w:val="00760F33"/>
    <w:rsid w:val="007640FF"/>
    <w:rsid w:val="00764D1E"/>
    <w:rsid w:val="00767091"/>
    <w:rsid w:val="0076785A"/>
    <w:rsid w:val="00767E37"/>
    <w:rsid w:val="00767FCD"/>
    <w:rsid w:val="0077071A"/>
    <w:rsid w:val="00770849"/>
    <w:rsid w:val="0077211E"/>
    <w:rsid w:val="00772AF0"/>
    <w:rsid w:val="00774173"/>
    <w:rsid w:val="00775F39"/>
    <w:rsid w:val="00777CA7"/>
    <w:rsid w:val="00777EC2"/>
    <w:rsid w:val="007835E3"/>
    <w:rsid w:val="00784E3E"/>
    <w:rsid w:val="00786EF7"/>
    <w:rsid w:val="00790DF3"/>
    <w:rsid w:val="00793817"/>
    <w:rsid w:val="00794EEE"/>
    <w:rsid w:val="007956D3"/>
    <w:rsid w:val="00796EC0"/>
    <w:rsid w:val="007973C1"/>
    <w:rsid w:val="007A21D1"/>
    <w:rsid w:val="007A294D"/>
    <w:rsid w:val="007A30A6"/>
    <w:rsid w:val="007A5D27"/>
    <w:rsid w:val="007A5E8F"/>
    <w:rsid w:val="007B0ACC"/>
    <w:rsid w:val="007B201E"/>
    <w:rsid w:val="007B3450"/>
    <w:rsid w:val="007B5447"/>
    <w:rsid w:val="007B73C4"/>
    <w:rsid w:val="007C0F7E"/>
    <w:rsid w:val="007C2E28"/>
    <w:rsid w:val="007D0C73"/>
    <w:rsid w:val="007D0C76"/>
    <w:rsid w:val="007D170D"/>
    <w:rsid w:val="007D2651"/>
    <w:rsid w:val="007D2A38"/>
    <w:rsid w:val="007D5EB0"/>
    <w:rsid w:val="007D6EC0"/>
    <w:rsid w:val="007E0084"/>
    <w:rsid w:val="007E1E7F"/>
    <w:rsid w:val="007E2626"/>
    <w:rsid w:val="007E7AA3"/>
    <w:rsid w:val="007F05F6"/>
    <w:rsid w:val="007F1B3F"/>
    <w:rsid w:val="007F243B"/>
    <w:rsid w:val="007F3E42"/>
    <w:rsid w:val="007F418B"/>
    <w:rsid w:val="007F46FE"/>
    <w:rsid w:val="007F4705"/>
    <w:rsid w:val="007F4FAF"/>
    <w:rsid w:val="007F508D"/>
    <w:rsid w:val="007F7DD4"/>
    <w:rsid w:val="007F7FC4"/>
    <w:rsid w:val="008008C6"/>
    <w:rsid w:val="008020F3"/>
    <w:rsid w:val="008040CC"/>
    <w:rsid w:val="00814CD9"/>
    <w:rsid w:val="00820090"/>
    <w:rsid w:val="00821027"/>
    <w:rsid w:val="008217C1"/>
    <w:rsid w:val="008219E0"/>
    <w:rsid w:val="00821B0F"/>
    <w:rsid w:val="00822A75"/>
    <w:rsid w:val="00823BD5"/>
    <w:rsid w:val="00824617"/>
    <w:rsid w:val="00825E9C"/>
    <w:rsid w:val="00830EC6"/>
    <w:rsid w:val="00831548"/>
    <w:rsid w:val="0083193F"/>
    <w:rsid w:val="008346A1"/>
    <w:rsid w:val="00834A51"/>
    <w:rsid w:val="00834D87"/>
    <w:rsid w:val="00835FC7"/>
    <w:rsid w:val="00837E7E"/>
    <w:rsid w:val="00844F28"/>
    <w:rsid w:val="00845674"/>
    <w:rsid w:val="00845940"/>
    <w:rsid w:val="00850727"/>
    <w:rsid w:val="00850D7A"/>
    <w:rsid w:val="008510A6"/>
    <w:rsid w:val="008512B3"/>
    <w:rsid w:val="00851559"/>
    <w:rsid w:val="00852BB2"/>
    <w:rsid w:val="00853081"/>
    <w:rsid w:val="00853F32"/>
    <w:rsid w:val="00863548"/>
    <w:rsid w:val="00865FBE"/>
    <w:rsid w:val="00871C19"/>
    <w:rsid w:val="00872362"/>
    <w:rsid w:val="008733A2"/>
    <w:rsid w:val="008745DE"/>
    <w:rsid w:val="00874EA6"/>
    <w:rsid w:val="008758FD"/>
    <w:rsid w:val="008831E9"/>
    <w:rsid w:val="008857FD"/>
    <w:rsid w:val="00885E0D"/>
    <w:rsid w:val="00887899"/>
    <w:rsid w:val="00895187"/>
    <w:rsid w:val="00896BC8"/>
    <w:rsid w:val="008A15C0"/>
    <w:rsid w:val="008A49FD"/>
    <w:rsid w:val="008A53D8"/>
    <w:rsid w:val="008B1A35"/>
    <w:rsid w:val="008B2A40"/>
    <w:rsid w:val="008B2C1F"/>
    <w:rsid w:val="008B3279"/>
    <w:rsid w:val="008B613A"/>
    <w:rsid w:val="008B6A30"/>
    <w:rsid w:val="008B70C2"/>
    <w:rsid w:val="008B75ED"/>
    <w:rsid w:val="008C11B9"/>
    <w:rsid w:val="008C1977"/>
    <w:rsid w:val="008C1E3B"/>
    <w:rsid w:val="008C3956"/>
    <w:rsid w:val="008C3C6A"/>
    <w:rsid w:val="008C4FDF"/>
    <w:rsid w:val="008C5F11"/>
    <w:rsid w:val="008C6D0A"/>
    <w:rsid w:val="008C77CA"/>
    <w:rsid w:val="008D08BB"/>
    <w:rsid w:val="008D406E"/>
    <w:rsid w:val="008E0529"/>
    <w:rsid w:val="008E2F94"/>
    <w:rsid w:val="008E730C"/>
    <w:rsid w:val="008F18E3"/>
    <w:rsid w:val="008F62BE"/>
    <w:rsid w:val="008F7DE4"/>
    <w:rsid w:val="008F7F3C"/>
    <w:rsid w:val="009008B8"/>
    <w:rsid w:val="00900C36"/>
    <w:rsid w:val="00902377"/>
    <w:rsid w:val="00902921"/>
    <w:rsid w:val="009035B3"/>
    <w:rsid w:val="00905850"/>
    <w:rsid w:val="00906060"/>
    <w:rsid w:val="009063A0"/>
    <w:rsid w:val="00906A45"/>
    <w:rsid w:val="00906B0E"/>
    <w:rsid w:val="00912C9E"/>
    <w:rsid w:val="00912F24"/>
    <w:rsid w:val="00913C06"/>
    <w:rsid w:val="009140ED"/>
    <w:rsid w:val="0091433B"/>
    <w:rsid w:val="009176A7"/>
    <w:rsid w:val="009205C4"/>
    <w:rsid w:val="00925774"/>
    <w:rsid w:val="00933FC9"/>
    <w:rsid w:val="0094199C"/>
    <w:rsid w:val="00944913"/>
    <w:rsid w:val="0095039E"/>
    <w:rsid w:val="0095062C"/>
    <w:rsid w:val="00951109"/>
    <w:rsid w:val="00951F1F"/>
    <w:rsid w:val="00952F8B"/>
    <w:rsid w:val="009543DD"/>
    <w:rsid w:val="00955229"/>
    <w:rsid w:val="009558CE"/>
    <w:rsid w:val="00956FF8"/>
    <w:rsid w:val="009573D7"/>
    <w:rsid w:val="00957E47"/>
    <w:rsid w:val="00960E6B"/>
    <w:rsid w:val="009638F0"/>
    <w:rsid w:val="009648B6"/>
    <w:rsid w:val="00966630"/>
    <w:rsid w:val="0096699C"/>
    <w:rsid w:val="0096792E"/>
    <w:rsid w:val="00971172"/>
    <w:rsid w:val="0097125B"/>
    <w:rsid w:val="00973295"/>
    <w:rsid w:val="00976E26"/>
    <w:rsid w:val="00987E7E"/>
    <w:rsid w:val="00992581"/>
    <w:rsid w:val="00992D07"/>
    <w:rsid w:val="0099373D"/>
    <w:rsid w:val="009965EE"/>
    <w:rsid w:val="009A051D"/>
    <w:rsid w:val="009A1342"/>
    <w:rsid w:val="009A1411"/>
    <w:rsid w:val="009A1808"/>
    <w:rsid w:val="009A4440"/>
    <w:rsid w:val="009A44A9"/>
    <w:rsid w:val="009A533E"/>
    <w:rsid w:val="009A7B6D"/>
    <w:rsid w:val="009B073D"/>
    <w:rsid w:val="009B0B55"/>
    <w:rsid w:val="009B16A9"/>
    <w:rsid w:val="009B244D"/>
    <w:rsid w:val="009B594E"/>
    <w:rsid w:val="009B65B7"/>
    <w:rsid w:val="009D1BAB"/>
    <w:rsid w:val="009D301A"/>
    <w:rsid w:val="009D5E70"/>
    <w:rsid w:val="009E44AB"/>
    <w:rsid w:val="009E526F"/>
    <w:rsid w:val="009E72FE"/>
    <w:rsid w:val="009F7853"/>
    <w:rsid w:val="00A01A9A"/>
    <w:rsid w:val="00A0426B"/>
    <w:rsid w:val="00A120D5"/>
    <w:rsid w:val="00A12258"/>
    <w:rsid w:val="00A12E58"/>
    <w:rsid w:val="00A15527"/>
    <w:rsid w:val="00A17710"/>
    <w:rsid w:val="00A20BB6"/>
    <w:rsid w:val="00A23A93"/>
    <w:rsid w:val="00A25884"/>
    <w:rsid w:val="00A26E99"/>
    <w:rsid w:val="00A302BF"/>
    <w:rsid w:val="00A35386"/>
    <w:rsid w:val="00A421FD"/>
    <w:rsid w:val="00A44086"/>
    <w:rsid w:val="00A5120F"/>
    <w:rsid w:val="00A548D5"/>
    <w:rsid w:val="00A62B09"/>
    <w:rsid w:val="00A70A7A"/>
    <w:rsid w:val="00A80D03"/>
    <w:rsid w:val="00A811B5"/>
    <w:rsid w:val="00A85853"/>
    <w:rsid w:val="00A86504"/>
    <w:rsid w:val="00A90102"/>
    <w:rsid w:val="00A91235"/>
    <w:rsid w:val="00A93B3D"/>
    <w:rsid w:val="00A94284"/>
    <w:rsid w:val="00AA135A"/>
    <w:rsid w:val="00AA2952"/>
    <w:rsid w:val="00AA4ECD"/>
    <w:rsid w:val="00AA547E"/>
    <w:rsid w:val="00AB1249"/>
    <w:rsid w:val="00AB28CE"/>
    <w:rsid w:val="00AB2E03"/>
    <w:rsid w:val="00AB2E7C"/>
    <w:rsid w:val="00AC447E"/>
    <w:rsid w:val="00AC535E"/>
    <w:rsid w:val="00AC570C"/>
    <w:rsid w:val="00AD2016"/>
    <w:rsid w:val="00AD2334"/>
    <w:rsid w:val="00AE0E03"/>
    <w:rsid w:val="00AE2546"/>
    <w:rsid w:val="00AE368B"/>
    <w:rsid w:val="00AE4B4D"/>
    <w:rsid w:val="00AE5844"/>
    <w:rsid w:val="00AE5B43"/>
    <w:rsid w:val="00AE7BD3"/>
    <w:rsid w:val="00AF1DDC"/>
    <w:rsid w:val="00AF580B"/>
    <w:rsid w:val="00B00103"/>
    <w:rsid w:val="00B0049A"/>
    <w:rsid w:val="00B10494"/>
    <w:rsid w:val="00B13A24"/>
    <w:rsid w:val="00B14DB3"/>
    <w:rsid w:val="00B15CB1"/>
    <w:rsid w:val="00B16AF9"/>
    <w:rsid w:val="00B22162"/>
    <w:rsid w:val="00B22729"/>
    <w:rsid w:val="00B27FB8"/>
    <w:rsid w:val="00B30F65"/>
    <w:rsid w:val="00B310C9"/>
    <w:rsid w:val="00B33F34"/>
    <w:rsid w:val="00B35969"/>
    <w:rsid w:val="00B35C28"/>
    <w:rsid w:val="00B41BF6"/>
    <w:rsid w:val="00B43829"/>
    <w:rsid w:val="00B4489B"/>
    <w:rsid w:val="00B44EB2"/>
    <w:rsid w:val="00B4522D"/>
    <w:rsid w:val="00B468B6"/>
    <w:rsid w:val="00B51084"/>
    <w:rsid w:val="00B51E35"/>
    <w:rsid w:val="00B53EFB"/>
    <w:rsid w:val="00B61BC1"/>
    <w:rsid w:val="00B62B18"/>
    <w:rsid w:val="00B631BE"/>
    <w:rsid w:val="00B63725"/>
    <w:rsid w:val="00B64B68"/>
    <w:rsid w:val="00B67213"/>
    <w:rsid w:val="00B71A3C"/>
    <w:rsid w:val="00B763B0"/>
    <w:rsid w:val="00B76586"/>
    <w:rsid w:val="00B77EC1"/>
    <w:rsid w:val="00B801D1"/>
    <w:rsid w:val="00B80CC3"/>
    <w:rsid w:val="00B82727"/>
    <w:rsid w:val="00B859BE"/>
    <w:rsid w:val="00B85CE4"/>
    <w:rsid w:val="00B86C33"/>
    <w:rsid w:val="00B96B29"/>
    <w:rsid w:val="00B97E6E"/>
    <w:rsid w:val="00BA334B"/>
    <w:rsid w:val="00BA3434"/>
    <w:rsid w:val="00BA3A20"/>
    <w:rsid w:val="00BA489E"/>
    <w:rsid w:val="00BB277B"/>
    <w:rsid w:val="00BB42B3"/>
    <w:rsid w:val="00BC311E"/>
    <w:rsid w:val="00BC51AC"/>
    <w:rsid w:val="00BC7697"/>
    <w:rsid w:val="00BC781D"/>
    <w:rsid w:val="00BC7B59"/>
    <w:rsid w:val="00BD101C"/>
    <w:rsid w:val="00BD3117"/>
    <w:rsid w:val="00BD7954"/>
    <w:rsid w:val="00BD79B6"/>
    <w:rsid w:val="00BE2F50"/>
    <w:rsid w:val="00BE433F"/>
    <w:rsid w:val="00BF061E"/>
    <w:rsid w:val="00BF237B"/>
    <w:rsid w:val="00BF4C75"/>
    <w:rsid w:val="00BF7561"/>
    <w:rsid w:val="00BF7D63"/>
    <w:rsid w:val="00C00070"/>
    <w:rsid w:val="00C01334"/>
    <w:rsid w:val="00C0148A"/>
    <w:rsid w:val="00C01A68"/>
    <w:rsid w:val="00C03A93"/>
    <w:rsid w:val="00C04B6B"/>
    <w:rsid w:val="00C05A9C"/>
    <w:rsid w:val="00C05B47"/>
    <w:rsid w:val="00C1173F"/>
    <w:rsid w:val="00C15C25"/>
    <w:rsid w:val="00C16AF0"/>
    <w:rsid w:val="00C1729C"/>
    <w:rsid w:val="00C2311A"/>
    <w:rsid w:val="00C24E3C"/>
    <w:rsid w:val="00C25789"/>
    <w:rsid w:val="00C33905"/>
    <w:rsid w:val="00C347CB"/>
    <w:rsid w:val="00C3627C"/>
    <w:rsid w:val="00C41DDB"/>
    <w:rsid w:val="00C4220A"/>
    <w:rsid w:val="00C42A7F"/>
    <w:rsid w:val="00C44428"/>
    <w:rsid w:val="00C44451"/>
    <w:rsid w:val="00C445B6"/>
    <w:rsid w:val="00C463E4"/>
    <w:rsid w:val="00C51FCE"/>
    <w:rsid w:val="00C53D35"/>
    <w:rsid w:val="00C55C1C"/>
    <w:rsid w:val="00C56247"/>
    <w:rsid w:val="00C5663E"/>
    <w:rsid w:val="00C57C03"/>
    <w:rsid w:val="00C60739"/>
    <w:rsid w:val="00C62522"/>
    <w:rsid w:val="00C627C6"/>
    <w:rsid w:val="00C632D8"/>
    <w:rsid w:val="00C6337B"/>
    <w:rsid w:val="00C63979"/>
    <w:rsid w:val="00C650D5"/>
    <w:rsid w:val="00C65AE9"/>
    <w:rsid w:val="00C6624E"/>
    <w:rsid w:val="00C6656D"/>
    <w:rsid w:val="00C67E80"/>
    <w:rsid w:val="00C701C1"/>
    <w:rsid w:val="00C70BAB"/>
    <w:rsid w:val="00C72FD6"/>
    <w:rsid w:val="00C73159"/>
    <w:rsid w:val="00C73C9E"/>
    <w:rsid w:val="00C77A24"/>
    <w:rsid w:val="00C814DE"/>
    <w:rsid w:val="00C81A42"/>
    <w:rsid w:val="00C840F5"/>
    <w:rsid w:val="00C85645"/>
    <w:rsid w:val="00C8616C"/>
    <w:rsid w:val="00C86F34"/>
    <w:rsid w:val="00C90456"/>
    <w:rsid w:val="00C91FB7"/>
    <w:rsid w:val="00C93A77"/>
    <w:rsid w:val="00C95F0C"/>
    <w:rsid w:val="00C96676"/>
    <w:rsid w:val="00CA44A6"/>
    <w:rsid w:val="00CA5CC6"/>
    <w:rsid w:val="00CB0916"/>
    <w:rsid w:val="00CB0FEF"/>
    <w:rsid w:val="00CB1E5C"/>
    <w:rsid w:val="00CB36FA"/>
    <w:rsid w:val="00CB4AB0"/>
    <w:rsid w:val="00CB4EEF"/>
    <w:rsid w:val="00CB5B87"/>
    <w:rsid w:val="00CB5B9E"/>
    <w:rsid w:val="00CB61B1"/>
    <w:rsid w:val="00CB63C2"/>
    <w:rsid w:val="00CB6BFD"/>
    <w:rsid w:val="00CC062E"/>
    <w:rsid w:val="00CC37D3"/>
    <w:rsid w:val="00CC4D21"/>
    <w:rsid w:val="00CC6961"/>
    <w:rsid w:val="00CC6FB6"/>
    <w:rsid w:val="00CC7A50"/>
    <w:rsid w:val="00CD0495"/>
    <w:rsid w:val="00CD1C75"/>
    <w:rsid w:val="00CD1FF2"/>
    <w:rsid w:val="00CD207F"/>
    <w:rsid w:val="00CD513C"/>
    <w:rsid w:val="00CD53A0"/>
    <w:rsid w:val="00CD5C28"/>
    <w:rsid w:val="00CD7BAD"/>
    <w:rsid w:val="00CE0175"/>
    <w:rsid w:val="00CE0FA8"/>
    <w:rsid w:val="00CE1F4C"/>
    <w:rsid w:val="00CE24B4"/>
    <w:rsid w:val="00CE5302"/>
    <w:rsid w:val="00CE74BA"/>
    <w:rsid w:val="00CF15DC"/>
    <w:rsid w:val="00CF30E1"/>
    <w:rsid w:val="00CF5A67"/>
    <w:rsid w:val="00CF60E4"/>
    <w:rsid w:val="00CF6EB2"/>
    <w:rsid w:val="00D016D3"/>
    <w:rsid w:val="00D019B5"/>
    <w:rsid w:val="00D01CFD"/>
    <w:rsid w:val="00D03F3A"/>
    <w:rsid w:val="00D0556D"/>
    <w:rsid w:val="00D0633D"/>
    <w:rsid w:val="00D0671C"/>
    <w:rsid w:val="00D110B9"/>
    <w:rsid w:val="00D16AE9"/>
    <w:rsid w:val="00D216BA"/>
    <w:rsid w:val="00D230D7"/>
    <w:rsid w:val="00D23F0A"/>
    <w:rsid w:val="00D30DEE"/>
    <w:rsid w:val="00D3485B"/>
    <w:rsid w:val="00D44B88"/>
    <w:rsid w:val="00D46096"/>
    <w:rsid w:val="00D464B9"/>
    <w:rsid w:val="00D46D91"/>
    <w:rsid w:val="00D47D06"/>
    <w:rsid w:val="00D52D96"/>
    <w:rsid w:val="00D54F25"/>
    <w:rsid w:val="00D572AB"/>
    <w:rsid w:val="00D57803"/>
    <w:rsid w:val="00D57A0C"/>
    <w:rsid w:val="00D64935"/>
    <w:rsid w:val="00D64F96"/>
    <w:rsid w:val="00D655BD"/>
    <w:rsid w:val="00D66D7C"/>
    <w:rsid w:val="00D7065D"/>
    <w:rsid w:val="00D719A3"/>
    <w:rsid w:val="00D735B3"/>
    <w:rsid w:val="00D753CA"/>
    <w:rsid w:val="00D75631"/>
    <w:rsid w:val="00D76847"/>
    <w:rsid w:val="00D84135"/>
    <w:rsid w:val="00D86AC5"/>
    <w:rsid w:val="00D902DE"/>
    <w:rsid w:val="00D90F05"/>
    <w:rsid w:val="00D93AC7"/>
    <w:rsid w:val="00D95583"/>
    <w:rsid w:val="00D97A89"/>
    <w:rsid w:val="00DA276A"/>
    <w:rsid w:val="00DA35BA"/>
    <w:rsid w:val="00DA4A47"/>
    <w:rsid w:val="00DB0F8D"/>
    <w:rsid w:val="00DC2E7B"/>
    <w:rsid w:val="00DC3A43"/>
    <w:rsid w:val="00DC4C44"/>
    <w:rsid w:val="00DC5194"/>
    <w:rsid w:val="00DC7659"/>
    <w:rsid w:val="00DD3FF2"/>
    <w:rsid w:val="00DD46D4"/>
    <w:rsid w:val="00DD53F2"/>
    <w:rsid w:val="00DD61EA"/>
    <w:rsid w:val="00DD64AB"/>
    <w:rsid w:val="00DE3897"/>
    <w:rsid w:val="00DF2F58"/>
    <w:rsid w:val="00DF48CE"/>
    <w:rsid w:val="00E00E17"/>
    <w:rsid w:val="00E05247"/>
    <w:rsid w:val="00E06280"/>
    <w:rsid w:val="00E06913"/>
    <w:rsid w:val="00E11864"/>
    <w:rsid w:val="00E1463E"/>
    <w:rsid w:val="00E147E5"/>
    <w:rsid w:val="00E14F3C"/>
    <w:rsid w:val="00E15577"/>
    <w:rsid w:val="00E20301"/>
    <w:rsid w:val="00E21394"/>
    <w:rsid w:val="00E21B3F"/>
    <w:rsid w:val="00E228D6"/>
    <w:rsid w:val="00E2573D"/>
    <w:rsid w:val="00E265F8"/>
    <w:rsid w:val="00E30308"/>
    <w:rsid w:val="00E311A1"/>
    <w:rsid w:val="00E31241"/>
    <w:rsid w:val="00E334F8"/>
    <w:rsid w:val="00E34B80"/>
    <w:rsid w:val="00E36037"/>
    <w:rsid w:val="00E37A18"/>
    <w:rsid w:val="00E37CC6"/>
    <w:rsid w:val="00E40EF4"/>
    <w:rsid w:val="00E41BDD"/>
    <w:rsid w:val="00E44902"/>
    <w:rsid w:val="00E47BF9"/>
    <w:rsid w:val="00E52547"/>
    <w:rsid w:val="00E53EA0"/>
    <w:rsid w:val="00E54BA6"/>
    <w:rsid w:val="00E55E33"/>
    <w:rsid w:val="00E601FC"/>
    <w:rsid w:val="00E61B01"/>
    <w:rsid w:val="00E633D6"/>
    <w:rsid w:val="00E662AD"/>
    <w:rsid w:val="00E71C32"/>
    <w:rsid w:val="00E72761"/>
    <w:rsid w:val="00E72DE6"/>
    <w:rsid w:val="00E7438A"/>
    <w:rsid w:val="00E761D2"/>
    <w:rsid w:val="00E7765B"/>
    <w:rsid w:val="00E81B71"/>
    <w:rsid w:val="00E87A4B"/>
    <w:rsid w:val="00E87FAB"/>
    <w:rsid w:val="00E908F3"/>
    <w:rsid w:val="00E90DFA"/>
    <w:rsid w:val="00E91DA7"/>
    <w:rsid w:val="00E92AD0"/>
    <w:rsid w:val="00E93549"/>
    <w:rsid w:val="00E94D9B"/>
    <w:rsid w:val="00E950A7"/>
    <w:rsid w:val="00E96C9F"/>
    <w:rsid w:val="00E97F33"/>
    <w:rsid w:val="00EA0A4A"/>
    <w:rsid w:val="00EA0C08"/>
    <w:rsid w:val="00EA320F"/>
    <w:rsid w:val="00EA436B"/>
    <w:rsid w:val="00EA5027"/>
    <w:rsid w:val="00EA7266"/>
    <w:rsid w:val="00EA73B6"/>
    <w:rsid w:val="00EB036C"/>
    <w:rsid w:val="00EB048A"/>
    <w:rsid w:val="00EC2CF2"/>
    <w:rsid w:val="00EC35F6"/>
    <w:rsid w:val="00EC5D21"/>
    <w:rsid w:val="00ED0B90"/>
    <w:rsid w:val="00ED22DA"/>
    <w:rsid w:val="00ED26C8"/>
    <w:rsid w:val="00ED323A"/>
    <w:rsid w:val="00ED4F18"/>
    <w:rsid w:val="00ED59BD"/>
    <w:rsid w:val="00ED7F64"/>
    <w:rsid w:val="00EE0298"/>
    <w:rsid w:val="00EE1DE0"/>
    <w:rsid w:val="00EE4BE9"/>
    <w:rsid w:val="00EF0E8E"/>
    <w:rsid w:val="00EF1C78"/>
    <w:rsid w:val="00EF3B48"/>
    <w:rsid w:val="00EF4269"/>
    <w:rsid w:val="00EF6465"/>
    <w:rsid w:val="00F032DA"/>
    <w:rsid w:val="00F06F02"/>
    <w:rsid w:val="00F11414"/>
    <w:rsid w:val="00F12136"/>
    <w:rsid w:val="00F14ABA"/>
    <w:rsid w:val="00F14C91"/>
    <w:rsid w:val="00F175B3"/>
    <w:rsid w:val="00F2087A"/>
    <w:rsid w:val="00F20B2A"/>
    <w:rsid w:val="00F2125E"/>
    <w:rsid w:val="00F22AA4"/>
    <w:rsid w:val="00F262CB"/>
    <w:rsid w:val="00F276E3"/>
    <w:rsid w:val="00F3136E"/>
    <w:rsid w:val="00F32AFB"/>
    <w:rsid w:val="00F3658D"/>
    <w:rsid w:val="00F40892"/>
    <w:rsid w:val="00F43A08"/>
    <w:rsid w:val="00F45F89"/>
    <w:rsid w:val="00F4615C"/>
    <w:rsid w:val="00F52216"/>
    <w:rsid w:val="00F54366"/>
    <w:rsid w:val="00F55091"/>
    <w:rsid w:val="00F56407"/>
    <w:rsid w:val="00F5721B"/>
    <w:rsid w:val="00F5793E"/>
    <w:rsid w:val="00F602B7"/>
    <w:rsid w:val="00F64783"/>
    <w:rsid w:val="00F64D70"/>
    <w:rsid w:val="00F7075E"/>
    <w:rsid w:val="00F71FF0"/>
    <w:rsid w:val="00F7383F"/>
    <w:rsid w:val="00F73F00"/>
    <w:rsid w:val="00F75C95"/>
    <w:rsid w:val="00F765CA"/>
    <w:rsid w:val="00F77146"/>
    <w:rsid w:val="00F835BC"/>
    <w:rsid w:val="00F9286E"/>
    <w:rsid w:val="00F951C6"/>
    <w:rsid w:val="00F95828"/>
    <w:rsid w:val="00F96BAB"/>
    <w:rsid w:val="00FA1EBA"/>
    <w:rsid w:val="00FA3913"/>
    <w:rsid w:val="00FB23C4"/>
    <w:rsid w:val="00FB24F5"/>
    <w:rsid w:val="00FB3266"/>
    <w:rsid w:val="00FB32F7"/>
    <w:rsid w:val="00FB511C"/>
    <w:rsid w:val="00FB60CC"/>
    <w:rsid w:val="00FB66B6"/>
    <w:rsid w:val="00FB73CE"/>
    <w:rsid w:val="00FC0254"/>
    <w:rsid w:val="00FC22BA"/>
    <w:rsid w:val="00FC34AA"/>
    <w:rsid w:val="00FC5809"/>
    <w:rsid w:val="00FC5D5A"/>
    <w:rsid w:val="00FC72C1"/>
    <w:rsid w:val="00FD014E"/>
    <w:rsid w:val="00FD3C4E"/>
    <w:rsid w:val="00FD447B"/>
    <w:rsid w:val="00FD5A32"/>
    <w:rsid w:val="00FD6DA9"/>
    <w:rsid w:val="00FE2C2D"/>
    <w:rsid w:val="00FE3C8D"/>
    <w:rsid w:val="00FE6411"/>
    <w:rsid w:val="00FE69FC"/>
    <w:rsid w:val="00FF2503"/>
    <w:rsid w:val="00FF25D1"/>
    <w:rsid w:val="00FF3BD1"/>
    <w:rsid w:val="00FF4018"/>
    <w:rsid w:val="00FF4F47"/>
    <w:rsid w:val="00FF6652"/>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87426">
      <o:colormenu v:ext="edit" fillcolor="none [4]" strokecolor="none [1]" shadowcolor="none [2]"/>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Garamond" w:eastAsia="Times New Roman" w:hAnsi="Garamond"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semiHidden="0" w:uiPriority="0" w:unhideWhenUsed="0" w:qFormat="1"/>
    <w:lsdException w:name="envelope return" w:uiPriority="0"/>
    <w:lsdException w:name="footnote reference" w:uiPriority="0"/>
    <w:lsdException w:name="endnote reference"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6785A"/>
    <w:pPr>
      <w:widowControl w:val="0"/>
      <w:suppressAutoHyphens/>
    </w:pPr>
    <w:rPr>
      <w:color w:val="000000"/>
      <w:sz w:val="24"/>
      <w:szCs w:val="24"/>
    </w:rPr>
  </w:style>
  <w:style w:type="paragraph" w:styleId="Heading1">
    <w:name w:val="heading 1"/>
    <w:basedOn w:val="Heading"/>
    <w:next w:val="BodyText"/>
    <w:link w:val="Heading1Char"/>
    <w:qFormat/>
    <w:rsid w:val="0076785A"/>
    <w:pPr>
      <w:tabs>
        <w:tab w:val="num" w:pos="0"/>
      </w:tabs>
      <w:outlineLvl w:val="0"/>
    </w:pPr>
    <w:rPr>
      <w:rFonts w:ascii="Thorndale" w:hAnsi="Thorndale"/>
      <w:b/>
      <w:bCs/>
      <w:sz w:val="32"/>
      <w:szCs w:val="32"/>
    </w:rPr>
  </w:style>
  <w:style w:type="paragraph" w:styleId="Heading2">
    <w:name w:val="heading 2"/>
    <w:basedOn w:val="Heading"/>
    <w:next w:val="BodyText"/>
    <w:link w:val="Heading2Char"/>
    <w:qFormat/>
    <w:rsid w:val="0076785A"/>
    <w:pPr>
      <w:tabs>
        <w:tab w:val="num" w:pos="0"/>
      </w:tabs>
      <w:outlineLvl w:val="1"/>
    </w:pPr>
    <w:rPr>
      <w:b/>
      <w:bCs/>
      <w:i/>
      <w:iCs/>
    </w:rPr>
  </w:style>
  <w:style w:type="paragraph" w:styleId="Heading3">
    <w:name w:val="heading 3"/>
    <w:basedOn w:val="Heading"/>
    <w:next w:val="BodyText"/>
    <w:link w:val="Heading3Char"/>
    <w:qFormat/>
    <w:rsid w:val="0076785A"/>
    <w:pPr>
      <w:tabs>
        <w:tab w:val="num" w:pos="0"/>
      </w:tabs>
      <w:outlineLvl w:val="2"/>
    </w:pPr>
    <w:rPr>
      <w:b/>
      <w:bCs/>
      <w:sz w:val="26"/>
      <w:szCs w:val="26"/>
    </w:rPr>
  </w:style>
  <w:style w:type="paragraph" w:styleId="Heading4">
    <w:name w:val="heading 4"/>
    <w:basedOn w:val="Heading"/>
    <w:next w:val="BodyText"/>
    <w:link w:val="Heading4Char"/>
    <w:qFormat/>
    <w:rsid w:val="0076785A"/>
    <w:pPr>
      <w:tabs>
        <w:tab w:val="num" w:pos="0"/>
      </w:tabs>
      <w:outlineLvl w:val="3"/>
    </w:pPr>
    <w:rPr>
      <w:b/>
      <w:bCs/>
      <w:i/>
      <w:iCs/>
      <w:sz w:val="24"/>
      <w:szCs w:val="24"/>
    </w:rPr>
  </w:style>
  <w:style w:type="paragraph" w:styleId="Heading5">
    <w:name w:val="heading 5"/>
    <w:basedOn w:val="Heading"/>
    <w:next w:val="BodyText"/>
    <w:link w:val="Heading5Char"/>
    <w:qFormat/>
    <w:rsid w:val="0076785A"/>
    <w:pPr>
      <w:tabs>
        <w:tab w:val="num" w:pos="0"/>
      </w:tabs>
      <w:outlineLvl w:val="4"/>
    </w:pPr>
    <w:rPr>
      <w:b/>
      <w:bCs/>
      <w:sz w:val="22"/>
      <w:szCs w:val="22"/>
    </w:rPr>
  </w:style>
  <w:style w:type="paragraph" w:styleId="Heading6">
    <w:name w:val="heading 6"/>
    <w:basedOn w:val="Heading"/>
    <w:next w:val="BodyText"/>
    <w:link w:val="Heading6Char"/>
    <w:qFormat/>
    <w:rsid w:val="0076785A"/>
    <w:pPr>
      <w:tabs>
        <w:tab w:val="num" w:pos="0"/>
      </w:tabs>
      <w:outlineLvl w:val="5"/>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rsid w:val="0076785A"/>
  </w:style>
  <w:style w:type="character" w:styleId="Hyperlink">
    <w:name w:val="Hyperlink"/>
    <w:rsid w:val="0076785A"/>
    <w:rPr>
      <w:color w:val="000080"/>
      <w:u w:val="single"/>
    </w:rPr>
  </w:style>
  <w:style w:type="character" w:customStyle="1" w:styleId="EndnoteCharacters">
    <w:name w:val="Endnote Characters"/>
    <w:rsid w:val="0076785A"/>
  </w:style>
  <w:style w:type="character" w:styleId="FootnoteReference">
    <w:name w:val="footnote reference"/>
    <w:semiHidden/>
    <w:rsid w:val="0076785A"/>
    <w:rPr>
      <w:vertAlign w:val="superscript"/>
    </w:rPr>
  </w:style>
  <w:style w:type="character" w:styleId="EndnoteReference">
    <w:name w:val="endnote reference"/>
    <w:semiHidden/>
    <w:rsid w:val="0076785A"/>
    <w:rPr>
      <w:vertAlign w:val="superscript"/>
    </w:rPr>
  </w:style>
  <w:style w:type="paragraph" w:styleId="BodyText">
    <w:name w:val="Body Text"/>
    <w:basedOn w:val="Normal"/>
    <w:link w:val="BodyTextChar"/>
    <w:semiHidden/>
    <w:rsid w:val="0076785A"/>
  </w:style>
  <w:style w:type="paragraph" w:customStyle="1" w:styleId="Heading">
    <w:name w:val="Heading"/>
    <w:basedOn w:val="Normal"/>
    <w:next w:val="BodyText"/>
    <w:rsid w:val="0076785A"/>
    <w:pPr>
      <w:keepNext/>
      <w:spacing w:before="240" w:after="283"/>
    </w:pPr>
    <w:rPr>
      <w:rFonts w:ascii="Albany" w:eastAsia="HG Mincho Light J" w:hAnsi="Albany" w:cs="Arial Unicode MS"/>
      <w:sz w:val="28"/>
      <w:szCs w:val="28"/>
    </w:rPr>
  </w:style>
  <w:style w:type="paragraph" w:styleId="List">
    <w:name w:val="List"/>
    <w:basedOn w:val="BodyText"/>
    <w:semiHidden/>
    <w:rsid w:val="0076785A"/>
  </w:style>
  <w:style w:type="paragraph" w:styleId="Header">
    <w:name w:val="header"/>
    <w:basedOn w:val="Normal"/>
    <w:link w:val="HeaderChar"/>
    <w:semiHidden/>
    <w:rsid w:val="0076785A"/>
    <w:pPr>
      <w:suppressLineNumbers/>
      <w:tabs>
        <w:tab w:val="center" w:pos="4818"/>
        <w:tab w:val="right" w:pos="9637"/>
      </w:tabs>
    </w:pPr>
  </w:style>
  <w:style w:type="paragraph" w:styleId="Footer">
    <w:name w:val="footer"/>
    <w:basedOn w:val="Normal"/>
    <w:link w:val="FooterChar"/>
    <w:uiPriority w:val="99"/>
    <w:rsid w:val="0076785A"/>
    <w:pPr>
      <w:suppressLineNumbers/>
      <w:tabs>
        <w:tab w:val="center" w:pos="4818"/>
        <w:tab w:val="right" w:pos="9637"/>
      </w:tabs>
    </w:pPr>
  </w:style>
  <w:style w:type="paragraph" w:customStyle="1" w:styleId="TableContents">
    <w:name w:val="Table Contents"/>
    <w:basedOn w:val="BodyText"/>
    <w:rsid w:val="0076785A"/>
  </w:style>
  <w:style w:type="paragraph" w:styleId="Caption">
    <w:name w:val="caption"/>
    <w:basedOn w:val="Normal"/>
    <w:qFormat/>
    <w:rsid w:val="0076785A"/>
    <w:pPr>
      <w:suppressLineNumbers/>
      <w:spacing w:before="120" w:after="120"/>
    </w:pPr>
    <w:rPr>
      <w:i/>
      <w:iCs/>
    </w:rPr>
  </w:style>
  <w:style w:type="paragraph" w:styleId="FootnoteText">
    <w:name w:val="footnote text"/>
    <w:basedOn w:val="Normal"/>
    <w:link w:val="FootnoteTextChar"/>
    <w:rsid w:val="0076785A"/>
    <w:pPr>
      <w:suppressLineNumbers/>
      <w:ind w:left="283" w:hanging="283"/>
    </w:pPr>
    <w:rPr>
      <w:sz w:val="20"/>
      <w:szCs w:val="20"/>
    </w:rPr>
  </w:style>
  <w:style w:type="paragraph" w:styleId="EnvelopeReturn">
    <w:name w:val="envelope return"/>
    <w:basedOn w:val="Normal"/>
    <w:semiHidden/>
    <w:rsid w:val="0076785A"/>
    <w:rPr>
      <w:i/>
    </w:rPr>
  </w:style>
  <w:style w:type="paragraph" w:customStyle="1" w:styleId="Index">
    <w:name w:val="Index"/>
    <w:basedOn w:val="Normal"/>
    <w:rsid w:val="0076785A"/>
    <w:pPr>
      <w:suppressLineNumbers/>
    </w:pPr>
  </w:style>
  <w:style w:type="paragraph" w:customStyle="1" w:styleId="Quotations">
    <w:name w:val="Quotations"/>
    <w:basedOn w:val="Normal"/>
    <w:rsid w:val="0076785A"/>
    <w:pPr>
      <w:pBdr>
        <w:top w:val="single" w:sz="1" w:space="7" w:color="C0C0C0"/>
        <w:left w:val="single" w:sz="1" w:space="7" w:color="C0C0C0"/>
        <w:bottom w:val="single" w:sz="1" w:space="7" w:color="C0C0C0"/>
        <w:right w:val="single" w:sz="1" w:space="7" w:color="C0C0C0"/>
      </w:pBdr>
      <w:spacing w:after="283"/>
      <w:ind w:left="567" w:right="567"/>
    </w:pPr>
  </w:style>
  <w:style w:type="paragraph" w:customStyle="1" w:styleId="HorizontalLine">
    <w:name w:val="Horizontal Line"/>
    <w:basedOn w:val="Normal"/>
    <w:next w:val="BodyText"/>
    <w:rsid w:val="0076785A"/>
    <w:pPr>
      <w:pBdr>
        <w:bottom w:val="double" w:sz="1" w:space="0" w:color="808080"/>
      </w:pBdr>
      <w:spacing w:after="283"/>
    </w:pPr>
    <w:rPr>
      <w:sz w:val="12"/>
    </w:rPr>
  </w:style>
  <w:style w:type="character" w:customStyle="1" w:styleId="FooterChar">
    <w:name w:val="Footer Char"/>
    <w:basedOn w:val="DefaultParagraphFont"/>
    <w:link w:val="Footer"/>
    <w:uiPriority w:val="99"/>
    <w:rsid w:val="0046233E"/>
    <w:rPr>
      <w:sz w:val="24"/>
      <w:szCs w:val="24"/>
    </w:rPr>
  </w:style>
  <w:style w:type="character" w:customStyle="1" w:styleId="Heading1Char">
    <w:name w:val="Heading 1 Char"/>
    <w:basedOn w:val="DefaultParagraphFont"/>
    <w:link w:val="Heading1"/>
    <w:uiPriority w:val="9"/>
    <w:rsid w:val="00820090"/>
    <w:rPr>
      <w:rFonts w:ascii="Thorndale" w:eastAsia="HG Mincho Light J" w:hAnsi="Thorndale" w:cs="Arial Unicode MS"/>
      <w:b/>
      <w:bCs/>
      <w:color w:val="000000"/>
      <w:sz w:val="32"/>
      <w:szCs w:val="32"/>
    </w:rPr>
  </w:style>
  <w:style w:type="character" w:customStyle="1" w:styleId="Heading2Char">
    <w:name w:val="Heading 2 Char"/>
    <w:basedOn w:val="DefaultParagraphFont"/>
    <w:link w:val="Heading2"/>
    <w:uiPriority w:val="9"/>
    <w:rsid w:val="00820090"/>
    <w:rPr>
      <w:rFonts w:ascii="Albany" w:eastAsia="HG Mincho Light J" w:hAnsi="Albany" w:cs="Arial Unicode MS"/>
      <w:b/>
      <w:bCs/>
      <w:i/>
      <w:iCs/>
      <w:color w:val="000000"/>
      <w:sz w:val="28"/>
      <w:szCs w:val="28"/>
    </w:rPr>
  </w:style>
  <w:style w:type="character" w:customStyle="1" w:styleId="HeaderChar">
    <w:name w:val="Header Char"/>
    <w:basedOn w:val="DefaultParagraphFont"/>
    <w:link w:val="Header"/>
    <w:uiPriority w:val="99"/>
    <w:semiHidden/>
    <w:rsid w:val="00820090"/>
    <w:rPr>
      <w:color w:val="000000"/>
      <w:sz w:val="24"/>
      <w:szCs w:val="24"/>
    </w:rPr>
  </w:style>
  <w:style w:type="table" w:styleId="TableGrid">
    <w:name w:val="Table Grid"/>
    <w:basedOn w:val="TableNormal"/>
    <w:rsid w:val="008200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BodyTextChar">
    <w:name w:val="Body Text Char"/>
    <w:basedOn w:val="DefaultParagraphFont"/>
    <w:link w:val="BodyText"/>
    <w:uiPriority w:val="99"/>
    <w:semiHidden/>
    <w:rsid w:val="00820090"/>
    <w:rPr>
      <w:color w:val="000000"/>
      <w:sz w:val="24"/>
      <w:szCs w:val="24"/>
    </w:rPr>
  </w:style>
  <w:style w:type="paragraph" w:styleId="BalloonText">
    <w:name w:val="Balloon Text"/>
    <w:basedOn w:val="Normal"/>
    <w:link w:val="BalloonTextChar"/>
    <w:uiPriority w:val="99"/>
    <w:semiHidden/>
    <w:unhideWhenUsed/>
    <w:rsid w:val="00820090"/>
    <w:pPr>
      <w:widowControl/>
      <w:suppressAutoHyphens w:val="0"/>
    </w:pPr>
    <w:rPr>
      <w:rFonts w:ascii="Tahoma" w:eastAsia="Calibri" w:hAnsi="Tahoma" w:cs="Tahoma"/>
      <w:color w:val="auto"/>
      <w:sz w:val="16"/>
      <w:szCs w:val="16"/>
    </w:rPr>
  </w:style>
  <w:style w:type="character" w:customStyle="1" w:styleId="BalloonTextChar">
    <w:name w:val="Balloon Text Char"/>
    <w:basedOn w:val="DefaultParagraphFont"/>
    <w:link w:val="BalloonText"/>
    <w:uiPriority w:val="99"/>
    <w:semiHidden/>
    <w:rsid w:val="00820090"/>
    <w:rPr>
      <w:rFonts w:ascii="Tahoma" w:eastAsia="Calibri" w:hAnsi="Tahoma" w:cs="Tahoma"/>
      <w:sz w:val="16"/>
      <w:szCs w:val="16"/>
    </w:rPr>
  </w:style>
  <w:style w:type="character" w:customStyle="1" w:styleId="FootnoteTextChar">
    <w:name w:val="Footnote Text Char"/>
    <w:basedOn w:val="DefaultParagraphFont"/>
    <w:link w:val="FootnoteText"/>
    <w:uiPriority w:val="99"/>
    <w:rsid w:val="00820090"/>
    <w:rPr>
      <w:color w:val="000000"/>
    </w:rPr>
  </w:style>
  <w:style w:type="paragraph" w:styleId="DocumentMap">
    <w:name w:val="Document Map"/>
    <w:basedOn w:val="Normal"/>
    <w:link w:val="DocumentMapChar"/>
    <w:uiPriority w:val="99"/>
    <w:semiHidden/>
    <w:unhideWhenUsed/>
    <w:rsid w:val="00820090"/>
    <w:pPr>
      <w:widowControl/>
      <w:suppressAutoHyphens w:val="0"/>
    </w:pPr>
    <w:rPr>
      <w:rFonts w:ascii="Tahoma" w:eastAsia="Calibri" w:hAnsi="Tahoma" w:cs="Tahoma"/>
      <w:color w:val="auto"/>
      <w:sz w:val="16"/>
      <w:szCs w:val="16"/>
      <w:lang w:val="en-GB"/>
    </w:rPr>
  </w:style>
  <w:style w:type="character" w:customStyle="1" w:styleId="DocumentMapChar">
    <w:name w:val="Document Map Char"/>
    <w:basedOn w:val="DefaultParagraphFont"/>
    <w:link w:val="DocumentMap"/>
    <w:uiPriority w:val="99"/>
    <w:semiHidden/>
    <w:rsid w:val="00820090"/>
    <w:rPr>
      <w:rFonts w:ascii="Tahoma" w:eastAsia="Calibri" w:hAnsi="Tahoma" w:cs="Tahoma"/>
      <w:sz w:val="16"/>
      <w:szCs w:val="16"/>
      <w:lang w:val="en-GB"/>
    </w:rPr>
  </w:style>
  <w:style w:type="paragraph" w:styleId="EndnoteText">
    <w:name w:val="endnote text"/>
    <w:basedOn w:val="Normal"/>
    <w:link w:val="EndnoteTextChar"/>
    <w:uiPriority w:val="99"/>
    <w:semiHidden/>
    <w:unhideWhenUsed/>
    <w:rsid w:val="00820090"/>
    <w:pPr>
      <w:widowControl/>
      <w:suppressAutoHyphens w:val="0"/>
      <w:spacing w:after="200" w:line="276" w:lineRule="auto"/>
    </w:pPr>
    <w:rPr>
      <w:rFonts w:eastAsia="Calibri"/>
      <w:color w:val="auto"/>
      <w:sz w:val="20"/>
      <w:szCs w:val="20"/>
      <w:lang w:val="en-GB"/>
    </w:rPr>
  </w:style>
  <w:style w:type="character" w:customStyle="1" w:styleId="EndnoteTextChar">
    <w:name w:val="Endnote Text Char"/>
    <w:basedOn w:val="DefaultParagraphFont"/>
    <w:link w:val="EndnoteText"/>
    <w:uiPriority w:val="99"/>
    <w:semiHidden/>
    <w:rsid w:val="00820090"/>
    <w:rPr>
      <w:rFonts w:eastAsia="Calibri"/>
      <w:lang w:val="en-GB"/>
    </w:rPr>
  </w:style>
  <w:style w:type="character" w:styleId="CommentReference">
    <w:name w:val="annotation reference"/>
    <w:basedOn w:val="DefaultParagraphFont"/>
    <w:uiPriority w:val="99"/>
    <w:semiHidden/>
    <w:unhideWhenUsed/>
    <w:rsid w:val="00820090"/>
    <w:rPr>
      <w:sz w:val="16"/>
      <w:szCs w:val="16"/>
    </w:rPr>
  </w:style>
  <w:style w:type="paragraph" w:styleId="CommentText">
    <w:name w:val="annotation text"/>
    <w:basedOn w:val="Normal"/>
    <w:link w:val="CommentTextChar"/>
    <w:uiPriority w:val="99"/>
    <w:semiHidden/>
    <w:unhideWhenUsed/>
    <w:rsid w:val="00820090"/>
    <w:pPr>
      <w:widowControl/>
      <w:suppressAutoHyphens w:val="0"/>
      <w:spacing w:after="200" w:line="276" w:lineRule="auto"/>
    </w:pPr>
    <w:rPr>
      <w:rFonts w:eastAsia="Calibri"/>
      <w:color w:val="auto"/>
      <w:sz w:val="20"/>
      <w:szCs w:val="20"/>
      <w:lang w:val="en-GB"/>
    </w:rPr>
  </w:style>
  <w:style w:type="character" w:customStyle="1" w:styleId="CommentTextChar">
    <w:name w:val="Comment Text Char"/>
    <w:basedOn w:val="DefaultParagraphFont"/>
    <w:link w:val="CommentText"/>
    <w:uiPriority w:val="99"/>
    <w:semiHidden/>
    <w:rsid w:val="00820090"/>
    <w:rPr>
      <w:rFonts w:eastAsia="Calibri"/>
      <w:lang w:val="en-GB"/>
    </w:rPr>
  </w:style>
  <w:style w:type="paragraph" w:styleId="CommentSubject">
    <w:name w:val="annotation subject"/>
    <w:basedOn w:val="CommentText"/>
    <w:next w:val="CommentText"/>
    <w:link w:val="CommentSubjectChar"/>
    <w:uiPriority w:val="99"/>
    <w:semiHidden/>
    <w:unhideWhenUsed/>
    <w:rsid w:val="00820090"/>
    <w:rPr>
      <w:b/>
      <w:bCs/>
    </w:rPr>
  </w:style>
  <w:style w:type="character" w:customStyle="1" w:styleId="CommentSubjectChar">
    <w:name w:val="Comment Subject Char"/>
    <w:basedOn w:val="CommentTextChar"/>
    <w:link w:val="CommentSubject"/>
    <w:uiPriority w:val="99"/>
    <w:semiHidden/>
    <w:rsid w:val="00820090"/>
    <w:rPr>
      <w:b/>
      <w:bCs/>
    </w:rPr>
  </w:style>
  <w:style w:type="character" w:customStyle="1" w:styleId="Heading3Char">
    <w:name w:val="Heading 3 Char"/>
    <w:basedOn w:val="DefaultParagraphFont"/>
    <w:link w:val="Heading3"/>
    <w:rsid w:val="00820090"/>
    <w:rPr>
      <w:rFonts w:ascii="Albany" w:eastAsia="HG Mincho Light J" w:hAnsi="Albany" w:cs="Arial Unicode MS"/>
      <w:b/>
      <w:bCs/>
      <w:color w:val="000000"/>
      <w:sz w:val="26"/>
      <w:szCs w:val="26"/>
    </w:rPr>
  </w:style>
  <w:style w:type="character" w:customStyle="1" w:styleId="Heading4Char">
    <w:name w:val="Heading 4 Char"/>
    <w:basedOn w:val="DefaultParagraphFont"/>
    <w:link w:val="Heading4"/>
    <w:rsid w:val="00820090"/>
    <w:rPr>
      <w:rFonts w:ascii="Albany" w:eastAsia="HG Mincho Light J" w:hAnsi="Albany" w:cs="Arial Unicode MS"/>
      <w:b/>
      <w:bCs/>
      <w:i/>
      <w:iCs/>
      <w:color w:val="000000"/>
      <w:sz w:val="24"/>
      <w:szCs w:val="24"/>
    </w:rPr>
  </w:style>
  <w:style w:type="character" w:customStyle="1" w:styleId="Heading5Char">
    <w:name w:val="Heading 5 Char"/>
    <w:basedOn w:val="DefaultParagraphFont"/>
    <w:link w:val="Heading5"/>
    <w:rsid w:val="00820090"/>
    <w:rPr>
      <w:rFonts w:ascii="Albany" w:eastAsia="HG Mincho Light J" w:hAnsi="Albany" w:cs="Arial Unicode MS"/>
      <w:b/>
      <w:bCs/>
      <w:color w:val="000000"/>
      <w:sz w:val="22"/>
      <w:szCs w:val="22"/>
    </w:rPr>
  </w:style>
  <w:style w:type="character" w:customStyle="1" w:styleId="Heading6Char">
    <w:name w:val="Heading 6 Char"/>
    <w:basedOn w:val="DefaultParagraphFont"/>
    <w:link w:val="Heading6"/>
    <w:rsid w:val="00820090"/>
    <w:rPr>
      <w:rFonts w:ascii="Albany" w:eastAsia="HG Mincho Light J" w:hAnsi="Albany" w:cs="Arial Unicode MS"/>
      <w:b/>
      <w:bCs/>
      <w:color w:val="000000"/>
    </w:rPr>
  </w:style>
  <w:style w:type="numbering" w:customStyle="1" w:styleId="NoList1">
    <w:name w:val="No List1"/>
    <w:next w:val="NoList"/>
    <w:uiPriority w:val="99"/>
    <w:semiHidden/>
    <w:unhideWhenUsed/>
    <w:rsid w:val="00820090"/>
  </w:style>
  <w:style w:type="table" w:customStyle="1" w:styleId="TableGrid1">
    <w:name w:val="Table Grid1"/>
    <w:basedOn w:val="TableNormal"/>
    <w:next w:val="TableGrid"/>
    <w:uiPriority w:val="59"/>
    <w:rsid w:val="008200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ibliography">
    <w:name w:val="Bibliography"/>
    <w:basedOn w:val="Normal"/>
    <w:next w:val="Normal"/>
    <w:uiPriority w:val="37"/>
    <w:unhideWhenUsed/>
    <w:rsid w:val="00820090"/>
    <w:rPr>
      <w:rFonts w:ascii="Times New Roman" w:hAnsi="Times New Roman"/>
      <w:color w:val="auto"/>
    </w:rPr>
  </w:style>
  <w:style w:type="character" w:customStyle="1" w:styleId="c03">
    <w:name w:val="c03"/>
    <w:basedOn w:val="DefaultParagraphFont"/>
    <w:rsid w:val="00820090"/>
  </w:style>
  <w:style w:type="character" w:customStyle="1" w:styleId="boldtext">
    <w:name w:val="boldtext"/>
    <w:basedOn w:val="DefaultParagraphFont"/>
    <w:rsid w:val="00820090"/>
  </w:style>
  <w:style w:type="character" w:customStyle="1" w:styleId="bodytext0">
    <w:name w:val="bodytext"/>
    <w:basedOn w:val="DefaultParagraphFont"/>
    <w:rsid w:val="00820090"/>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XSL" StyleName="MLA"/>
</file>

<file path=customXml/itemProps1.xml><?xml version="1.0" encoding="utf-8"?>
<ds:datastoreItem xmlns:ds="http://schemas.openxmlformats.org/officeDocument/2006/customXml" ds:itemID="{B2AA7DEA-68B9-49B5-821C-7D38F7266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13297</Words>
  <Characters>75795</Characters>
  <Application>Microsoft Office Word</Application>
  <DocSecurity>0</DocSecurity>
  <Lines>631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dc:creator>
  <cp:keywords/>
  <cp:lastModifiedBy>Christine 2</cp:lastModifiedBy>
  <cp:revision>5</cp:revision>
  <cp:lastPrinted>2009-06-02T20:19:00Z</cp:lastPrinted>
  <dcterms:created xsi:type="dcterms:W3CDTF">2009-06-02T18:45:00Z</dcterms:created>
  <dcterms:modified xsi:type="dcterms:W3CDTF">2009-06-02T20:21:00Z</dcterms:modified>
</cp:coreProperties>
</file>